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u w:val="none"/>
          <w:lang w:val="en-US" w:eastAsia="zh-CN"/>
        </w:rPr>
      </w:pPr>
      <w:bookmarkStart w:id="5" w:name="_GoBack"/>
      <w:bookmarkEnd w:id="5"/>
      <w:r>
        <w:rPr>
          <w:rFonts w:hint="eastAsia" w:ascii="仿宋_GB2312" w:hAnsi="仿宋_GB2312" w:eastAsia="仿宋_GB2312" w:cs="仿宋_GB2312"/>
          <w:color w:val="auto"/>
          <w:sz w:val="32"/>
          <w:szCs w:val="32"/>
          <w:highlight w:val="none"/>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0"/>
          <w:sz w:val="36"/>
          <w:szCs w:val="36"/>
          <w:highlight w:val="none"/>
          <w:u w:val="none"/>
          <w:lang w:eastAsia="zh-CN"/>
        </w:rPr>
      </w:pPr>
      <w:r>
        <w:rPr>
          <w:rFonts w:hint="eastAsia" w:ascii="Times New Roman" w:hAnsi="Times New Roman" w:eastAsia="方正小标宋简体" w:cs="Times New Roman"/>
          <w:color w:val="auto"/>
          <w:sz w:val="44"/>
          <w:szCs w:val="44"/>
          <w:highlight w:val="none"/>
          <w:u w:val="none"/>
          <w:lang w:val="en-US" w:eastAsia="zh-CN"/>
        </w:rPr>
        <w:t>奎屯市</w:t>
      </w:r>
      <w:r>
        <w:rPr>
          <w:rFonts w:hint="default" w:ascii="Times New Roman" w:hAnsi="Times New Roman" w:eastAsia="方正小标宋简体" w:cs="Times New Roman"/>
          <w:color w:val="auto"/>
          <w:sz w:val="44"/>
          <w:szCs w:val="44"/>
          <w:highlight w:val="none"/>
          <w:u w:val="none"/>
          <w:lang w:val="en-US" w:eastAsia="zh-CN"/>
        </w:rPr>
        <w:t>国有</w:t>
      </w:r>
      <w:r>
        <w:rPr>
          <w:rFonts w:hint="default" w:ascii="Times New Roman" w:hAnsi="Times New Roman" w:eastAsia="方正小标宋简体" w:cs="Times New Roman"/>
          <w:color w:val="auto"/>
          <w:sz w:val="44"/>
          <w:szCs w:val="44"/>
          <w:highlight w:val="none"/>
          <w:u w:val="none"/>
          <w:lang w:eastAsia="zh-CN"/>
        </w:rPr>
        <w:t>企业负责人薪酬管理办法</w:t>
      </w:r>
      <w:r>
        <w:rPr>
          <w:rFonts w:hint="eastAsia" w:ascii="方正小标宋简体" w:hAnsi="方正小标宋简体" w:eastAsia="方正小标宋简体" w:cs="方正小标宋简体"/>
          <w:sz w:val="44"/>
          <w:szCs w:val="44"/>
          <w:lang w:eastAsia="zh-CN"/>
        </w:rPr>
        <w:t>（试行）（草案）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0"/>
          <w:sz w:val="36"/>
          <w:szCs w:val="36"/>
          <w:highlight w:val="none"/>
          <w:u w:val="none"/>
          <w:lang w:eastAsia="zh-CN"/>
        </w:rPr>
      </w:pPr>
      <w:r>
        <w:rPr>
          <w:rFonts w:hint="default" w:ascii="Times New Roman" w:hAnsi="Times New Roman" w:eastAsia="黑体" w:cs="Times New Roman"/>
          <w:color w:val="auto"/>
          <w:spacing w:val="0"/>
          <w:sz w:val="36"/>
          <w:szCs w:val="36"/>
          <w:highlight w:val="none"/>
          <w:u w:val="none"/>
          <w:lang w:eastAsia="zh-CN"/>
        </w:rPr>
        <w:t>第一章  总则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sz w:val="32"/>
          <w:szCs w:val="32"/>
          <w:lang w:eastAsia="zh-CN"/>
        </w:rPr>
        <w:t>第一条</w:t>
      </w:r>
      <w:r>
        <w:rPr>
          <w:rFonts w:hint="default" w:ascii="Times New Roman" w:hAnsi="Times New Roman" w:eastAsia="方正仿宋简体" w:cs="Times New Roman"/>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为进一步深化国有企业负责人薪酬制度改革，切实履行国有</w:t>
      </w:r>
      <w:r>
        <w:rPr>
          <w:rFonts w:hint="eastAsia" w:ascii="仿宋_GB2312" w:hAnsi="仿宋_GB2312" w:eastAsia="仿宋_GB2312" w:cs="仿宋_GB2312"/>
          <w:color w:val="auto"/>
          <w:spacing w:val="0"/>
          <w:sz w:val="32"/>
          <w:szCs w:val="32"/>
          <w:highlight w:val="none"/>
          <w:u w:val="none"/>
          <w:lang w:val="en-US" w:eastAsia="zh-CN"/>
        </w:rPr>
        <w:t>企业</w:t>
      </w:r>
      <w:r>
        <w:rPr>
          <w:rFonts w:hint="eastAsia" w:ascii="仿宋_GB2312" w:hAnsi="仿宋_GB2312" w:eastAsia="仿宋_GB2312" w:cs="仿宋_GB2312"/>
          <w:color w:val="auto"/>
          <w:spacing w:val="0"/>
          <w:sz w:val="32"/>
          <w:szCs w:val="32"/>
          <w:highlight w:val="none"/>
          <w:u w:val="none"/>
          <w:lang w:eastAsia="zh-CN"/>
        </w:rPr>
        <w:t>出资人职责，建立健全有效的企业负责人激励约束机制，规范企业收入分配秩序，</w:t>
      </w:r>
      <w:r>
        <w:rPr>
          <w:rFonts w:hint="eastAsia" w:ascii="仿宋_GB2312" w:hAnsi="仿宋_GB2312" w:eastAsia="仿宋_GB2312" w:cs="仿宋_GB2312"/>
          <w:color w:val="auto"/>
          <w:spacing w:val="0"/>
          <w:sz w:val="32"/>
          <w:szCs w:val="32"/>
          <w:highlight w:val="none"/>
          <w:u w:val="none"/>
          <w:lang w:val="en-US" w:eastAsia="zh-CN"/>
        </w:rPr>
        <w:t>引导企业</w:t>
      </w:r>
      <w:r>
        <w:rPr>
          <w:rFonts w:hint="eastAsia" w:ascii="仿宋_GB2312" w:hAnsi="仿宋_GB2312" w:eastAsia="仿宋_GB2312" w:cs="仿宋_GB2312"/>
          <w:color w:val="auto"/>
          <w:spacing w:val="0"/>
          <w:sz w:val="32"/>
          <w:szCs w:val="32"/>
          <w:highlight w:val="none"/>
          <w:u w:val="none"/>
          <w:lang w:eastAsia="zh-CN"/>
        </w:rPr>
        <w:t>高质量发展，</w:t>
      </w:r>
      <w:r>
        <w:rPr>
          <w:rFonts w:hint="eastAsia" w:ascii="仿宋_GB2312" w:hAnsi="仿宋_GB2312" w:eastAsia="仿宋_GB2312" w:cs="仿宋_GB2312"/>
          <w:b w:val="0"/>
          <w:bCs w:val="0"/>
          <w:i w:val="0"/>
          <w:iCs w:val="0"/>
          <w:color w:val="auto"/>
          <w:spacing w:val="0"/>
          <w:sz w:val="32"/>
          <w:szCs w:val="32"/>
          <w:highlight w:val="none"/>
          <w:u w:val="none"/>
          <w:lang w:eastAsia="zh-CN"/>
        </w:rPr>
        <w:t>根据《中华人民共和国公司法》等有关法律法规和深化国有企业负责人</w:t>
      </w:r>
      <w:r>
        <w:rPr>
          <w:rFonts w:hint="eastAsia" w:ascii="仿宋_GB2312" w:hAnsi="仿宋_GB2312" w:eastAsia="仿宋_GB2312" w:cs="仿宋_GB2312"/>
          <w:color w:val="auto"/>
          <w:spacing w:val="0"/>
          <w:sz w:val="32"/>
          <w:szCs w:val="32"/>
          <w:highlight w:val="none"/>
          <w:u w:val="none"/>
          <w:lang w:eastAsia="zh-CN"/>
        </w:rPr>
        <w:t>薪酬制度改革等有关政策规定，结合</w:t>
      </w:r>
      <w:r>
        <w:rPr>
          <w:rFonts w:hint="eastAsia" w:ascii="仿宋_GB2312" w:hAnsi="仿宋_GB2312" w:eastAsia="仿宋_GB2312" w:cs="仿宋_GB2312"/>
          <w:color w:val="auto"/>
          <w:spacing w:val="0"/>
          <w:sz w:val="32"/>
          <w:szCs w:val="32"/>
          <w:highlight w:val="none"/>
          <w:u w:val="none"/>
          <w:lang w:val="en-US" w:eastAsia="zh-CN"/>
        </w:rPr>
        <w:t>奎屯市国有</w:t>
      </w:r>
      <w:r>
        <w:rPr>
          <w:rFonts w:hint="eastAsia" w:ascii="仿宋_GB2312" w:hAnsi="仿宋_GB2312" w:eastAsia="仿宋_GB2312" w:cs="仿宋_GB2312"/>
          <w:color w:val="auto"/>
          <w:spacing w:val="0"/>
          <w:sz w:val="32"/>
          <w:szCs w:val="32"/>
          <w:highlight w:val="none"/>
          <w:u w:val="none"/>
          <w:lang w:eastAsia="zh-CN"/>
        </w:rPr>
        <w:t>企业实际，制定本办法。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第二条</w:t>
      </w:r>
      <w:r>
        <w:rPr>
          <w:rFonts w:hint="default" w:ascii="Times New Roman" w:hAnsi="Times New Roman" w:eastAsia="方正仿宋简体" w:cs="Times New Roman"/>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本办法所称企业负责人是指经</w:t>
      </w:r>
      <w:r>
        <w:rPr>
          <w:rFonts w:hint="eastAsia" w:ascii="仿宋_GB2312" w:hAnsi="仿宋_GB2312" w:eastAsia="仿宋_GB2312" w:cs="仿宋_GB2312"/>
          <w:color w:val="auto"/>
          <w:spacing w:val="0"/>
          <w:sz w:val="32"/>
          <w:szCs w:val="32"/>
          <w:highlight w:val="none"/>
          <w:u w:val="none"/>
          <w:lang w:val="en-US" w:eastAsia="zh-CN"/>
        </w:rPr>
        <w:t>奎屯市</w:t>
      </w:r>
      <w:r>
        <w:rPr>
          <w:rFonts w:hint="eastAsia" w:ascii="仿宋_GB2312" w:hAnsi="仿宋_GB2312" w:eastAsia="仿宋_GB2312" w:cs="仿宋_GB2312"/>
          <w:color w:val="auto"/>
          <w:spacing w:val="0"/>
          <w:sz w:val="32"/>
          <w:szCs w:val="32"/>
          <w:highlight w:val="none"/>
          <w:u w:val="none"/>
          <w:lang w:eastAsia="zh-CN"/>
        </w:rPr>
        <w:t>人民政府授权由</w:t>
      </w:r>
      <w:r>
        <w:rPr>
          <w:rFonts w:hint="eastAsia" w:ascii="仿宋_GB2312" w:hAnsi="仿宋_GB2312" w:eastAsia="仿宋_GB2312" w:cs="仿宋_GB2312"/>
          <w:b w:val="0"/>
          <w:bCs w:val="0"/>
          <w:i w:val="0"/>
          <w:iCs w:val="0"/>
          <w:color w:val="auto"/>
          <w:spacing w:val="0"/>
          <w:sz w:val="32"/>
          <w:szCs w:val="32"/>
          <w:highlight w:val="none"/>
          <w:u w:val="none"/>
          <w:lang w:eastAsia="zh-CN"/>
        </w:rPr>
        <w:t>奎屯市</w:t>
      </w:r>
      <w:r>
        <w:rPr>
          <w:rFonts w:hint="eastAsia" w:ascii="仿宋_GB2312" w:hAnsi="仿宋_GB2312" w:eastAsia="仿宋_GB2312" w:cs="仿宋_GB2312"/>
          <w:b w:val="0"/>
          <w:bCs w:val="0"/>
          <w:i w:val="0"/>
          <w:iCs w:val="0"/>
          <w:color w:val="auto"/>
          <w:spacing w:val="0"/>
          <w:sz w:val="32"/>
          <w:szCs w:val="32"/>
          <w:highlight w:val="none"/>
          <w:u w:val="none"/>
          <w:lang w:val="en-US" w:eastAsia="zh-CN"/>
        </w:rPr>
        <w:t>财政局及奎屯市</w:t>
      </w:r>
      <w:r>
        <w:rPr>
          <w:rFonts w:hint="eastAsia" w:ascii="仿宋_GB2312" w:hAnsi="仿宋_GB2312" w:eastAsia="仿宋_GB2312" w:cs="仿宋_GB2312"/>
          <w:b w:val="0"/>
          <w:bCs w:val="0"/>
          <w:i w:val="0"/>
          <w:iCs w:val="0"/>
          <w:color w:val="auto"/>
          <w:spacing w:val="0"/>
          <w:sz w:val="32"/>
          <w:szCs w:val="32"/>
          <w:highlight w:val="none"/>
          <w:u w:val="none"/>
          <w:lang w:eastAsia="zh-CN"/>
        </w:rPr>
        <w:t>国有资产监督管理局（以下简称国资局）</w:t>
      </w:r>
      <w:r>
        <w:rPr>
          <w:rFonts w:hint="eastAsia" w:ascii="仿宋_GB2312" w:hAnsi="仿宋_GB2312" w:eastAsia="仿宋_GB2312" w:cs="仿宋_GB2312"/>
          <w:color w:val="auto"/>
          <w:spacing w:val="0"/>
          <w:sz w:val="32"/>
          <w:szCs w:val="32"/>
          <w:highlight w:val="none"/>
          <w:u w:val="none"/>
          <w:lang w:eastAsia="zh-CN"/>
        </w:rPr>
        <w:t>履行出资人职责直接监管的企业中的高层管理的人员。</w:t>
      </w:r>
    </w:p>
    <w:p>
      <w:pPr>
        <w:pStyle w:val="5"/>
        <w:pageBreakBefore w:val="0"/>
        <w:widowControl w:val="0"/>
        <w:kinsoku/>
        <w:wordWrap/>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仿宋_GB2312" w:hAnsi="仿宋_GB2312" w:eastAsia="仿宋_GB2312" w:cs="仿宋_GB2312"/>
          <w:b w:val="0"/>
          <w:bCs w:val="0"/>
          <w:color w:val="auto"/>
          <w:spacing w:val="0"/>
          <w:sz w:val="32"/>
          <w:szCs w:val="32"/>
          <w:highlight w:val="none"/>
          <w:u w:val="none"/>
          <w:lang w:eastAsia="zh-CN"/>
        </w:rPr>
        <w:t>高层管理人员包括：</w:t>
      </w:r>
    </w:p>
    <w:p>
      <w:pPr>
        <w:pStyle w:val="5"/>
        <w:pageBreakBefore w:val="0"/>
        <w:widowControl w:val="0"/>
        <w:kinsoku/>
        <w:wordWrap/>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仿宋_GB2312" w:hAnsi="仿宋_GB2312" w:eastAsia="仿宋_GB2312" w:cs="仿宋_GB2312"/>
          <w:b w:val="0"/>
          <w:bCs w:val="0"/>
          <w:color w:val="auto"/>
          <w:spacing w:val="0"/>
          <w:sz w:val="32"/>
          <w:szCs w:val="32"/>
          <w:highlight w:val="none"/>
          <w:u w:val="none"/>
          <w:lang w:eastAsia="zh-CN"/>
        </w:rPr>
        <w:t>（一）党委书记、党委副书记、党委纪检书记、党委委员；</w:t>
      </w:r>
    </w:p>
    <w:p>
      <w:pPr>
        <w:pStyle w:val="5"/>
        <w:pageBreakBefore w:val="0"/>
        <w:widowControl w:val="0"/>
        <w:kinsoku/>
        <w:wordWrap/>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仿宋_GB2312" w:hAnsi="仿宋_GB2312" w:eastAsia="仿宋_GB2312" w:cs="仿宋_GB2312"/>
          <w:b w:val="0"/>
          <w:bCs w:val="0"/>
          <w:color w:val="auto"/>
          <w:spacing w:val="0"/>
          <w:sz w:val="32"/>
          <w:szCs w:val="32"/>
          <w:highlight w:val="none"/>
          <w:u w:val="none"/>
          <w:lang w:eastAsia="zh-CN"/>
        </w:rPr>
        <w:t>（二）董事长、副董事长、董事（不含外部董事、职工董事）；</w:t>
      </w:r>
    </w:p>
    <w:p>
      <w:pPr>
        <w:pStyle w:val="5"/>
        <w:pageBreakBefore w:val="0"/>
        <w:widowControl w:val="0"/>
        <w:kinsoku/>
        <w:wordWrap/>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仿宋_GB2312" w:hAnsi="仿宋_GB2312" w:eastAsia="仿宋_GB2312" w:cs="仿宋_GB2312"/>
          <w:b w:val="0"/>
          <w:bCs w:val="0"/>
          <w:color w:val="auto"/>
          <w:spacing w:val="0"/>
          <w:sz w:val="32"/>
          <w:szCs w:val="32"/>
          <w:highlight w:val="none"/>
          <w:u w:val="none"/>
          <w:lang w:eastAsia="zh-CN"/>
        </w:rPr>
        <w:t>（三）总经理、副总经理、财务总监。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第三条</w:t>
      </w:r>
      <w:r>
        <w:rPr>
          <w:rFonts w:hint="default" w:ascii="Times New Roman" w:hAnsi="Times New Roman" w:eastAsia="方正仿宋简体" w:cs="Times New Roman"/>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企业负责人薪酬管理</w:t>
      </w:r>
      <w:r>
        <w:rPr>
          <w:rFonts w:hint="eastAsia" w:ascii="仿宋_GB2312" w:hAnsi="仿宋_GB2312" w:eastAsia="仿宋_GB2312" w:cs="仿宋_GB2312"/>
          <w:color w:val="auto"/>
          <w:spacing w:val="0"/>
          <w:sz w:val="32"/>
          <w:szCs w:val="32"/>
          <w:highlight w:val="none"/>
          <w:u w:val="none"/>
          <w:lang w:val="en-US" w:eastAsia="zh-CN"/>
        </w:rPr>
        <w:t>应当</w:t>
      </w:r>
      <w:r>
        <w:rPr>
          <w:rFonts w:hint="eastAsia" w:ascii="仿宋_GB2312" w:hAnsi="仿宋_GB2312" w:eastAsia="仿宋_GB2312" w:cs="仿宋_GB2312"/>
          <w:color w:val="auto"/>
          <w:spacing w:val="0"/>
          <w:sz w:val="32"/>
          <w:szCs w:val="32"/>
          <w:highlight w:val="none"/>
          <w:u w:val="none"/>
          <w:lang w:eastAsia="zh-CN"/>
        </w:rPr>
        <w:t>遵循</w:t>
      </w:r>
      <w:r>
        <w:rPr>
          <w:rFonts w:hint="eastAsia" w:ascii="仿宋_GB2312" w:hAnsi="仿宋_GB2312" w:eastAsia="仿宋_GB2312" w:cs="仿宋_GB2312"/>
          <w:color w:val="auto"/>
          <w:spacing w:val="0"/>
          <w:sz w:val="32"/>
          <w:szCs w:val="32"/>
          <w:highlight w:val="none"/>
          <w:u w:val="none"/>
          <w:lang w:val="en-US" w:eastAsia="zh-CN"/>
        </w:rPr>
        <w:t>以下</w:t>
      </w:r>
      <w:r>
        <w:rPr>
          <w:rFonts w:hint="eastAsia" w:ascii="仿宋_GB2312" w:hAnsi="仿宋_GB2312" w:eastAsia="仿宋_GB2312" w:cs="仿宋_GB2312"/>
          <w:color w:val="auto"/>
          <w:spacing w:val="0"/>
          <w:sz w:val="32"/>
          <w:szCs w:val="32"/>
          <w:highlight w:val="none"/>
          <w:u w:val="none"/>
          <w:lang w:eastAsia="zh-CN"/>
        </w:rPr>
        <w:t>原则：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仿宋_GB2312" w:hAnsi="仿宋_GB2312" w:eastAsia="仿宋_GB2312" w:cs="仿宋_GB2312"/>
          <w:b/>
          <w:bCs/>
          <w:sz w:val="32"/>
          <w:szCs w:val="32"/>
          <w:lang w:val="zh-CN" w:eastAsia="zh-CN"/>
        </w:rPr>
        <w:t>（</w:t>
      </w:r>
      <w:r>
        <w:rPr>
          <w:rStyle w:val="12"/>
          <w:rFonts w:hint="eastAsia" w:ascii="仿宋_GB2312" w:hAnsi="仿宋_GB2312" w:eastAsia="仿宋_GB2312" w:cs="仿宋_GB2312"/>
          <w:b/>
          <w:bCs/>
          <w:sz w:val="32"/>
          <w:szCs w:val="32"/>
          <w:lang w:eastAsia="zh-CN"/>
        </w:rPr>
        <w:t>一</w:t>
      </w:r>
      <w:r>
        <w:rPr>
          <w:rStyle w:val="12"/>
          <w:rFonts w:hint="eastAsia" w:ascii="仿宋_GB2312" w:hAnsi="仿宋_GB2312" w:eastAsia="仿宋_GB2312" w:cs="仿宋_GB2312"/>
          <w:b/>
          <w:bCs/>
          <w:sz w:val="32"/>
          <w:szCs w:val="32"/>
          <w:lang w:val="zh-CN" w:eastAsia="zh-CN"/>
        </w:rPr>
        <w:t>）</w:t>
      </w:r>
      <w:r>
        <w:rPr>
          <w:rStyle w:val="12"/>
          <w:rFonts w:hint="eastAsia" w:ascii="仿宋_GB2312" w:hAnsi="仿宋_GB2312" w:eastAsia="仿宋_GB2312" w:cs="仿宋_GB2312"/>
          <w:b/>
          <w:bCs/>
          <w:sz w:val="32"/>
          <w:szCs w:val="32"/>
          <w:lang w:eastAsia="zh-CN"/>
        </w:rPr>
        <w:t>坚持完善</w:t>
      </w:r>
      <w:r>
        <w:rPr>
          <w:rStyle w:val="12"/>
          <w:rFonts w:hint="eastAsia" w:ascii="仿宋_GB2312" w:hAnsi="仿宋_GB2312" w:eastAsia="仿宋_GB2312" w:cs="仿宋_GB2312"/>
          <w:b/>
          <w:bCs/>
          <w:sz w:val="32"/>
          <w:szCs w:val="32"/>
          <w:lang w:val="en-US" w:eastAsia="zh-CN"/>
        </w:rPr>
        <w:t>中国特色</w:t>
      </w:r>
      <w:r>
        <w:rPr>
          <w:rStyle w:val="12"/>
          <w:rFonts w:hint="eastAsia" w:ascii="仿宋_GB2312" w:hAnsi="仿宋_GB2312" w:eastAsia="仿宋_GB2312" w:cs="仿宋_GB2312"/>
          <w:b/>
          <w:bCs/>
          <w:sz w:val="32"/>
          <w:szCs w:val="32"/>
          <w:lang w:eastAsia="zh-CN"/>
        </w:rPr>
        <w:t>现代企业制度。</w:t>
      </w:r>
      <w:r>
        <w:rPr>
          <w:rFonts w:hint="eastAsia" w:ascii="仿宋_GB2312" w:hAnsi="仿宋_GB2312" w:eastAsia="仿宋_GB2312" w:cs="仿宋_GB2312"/>
          <w:color w:val="auto"/>
          <w:spacing w:val="0"/>
          <w:sz w:val="32"/>
          <w:szCs w:val="32"/>
          <w:highlight w:val="none"/>
          <w:u w:val="none"/>
          <w:lang w:eastAsia="zh-CN"/>
        </w:rPr>
        <w:t>健全规范合理的</w:t>
      </w:r>
      <w:r>
        <w:rPr>
          <w:rFonts w:hint="eastAsia" w:ascii="仿宋_GB2312" w:hAnsi="仿宋_GB2312" w:eastAsia="仿宋_GB2312" w:cs="仿宋_GB2312"/>
          <w:color w:val="auto"/>
          <w:spacing w:val="0"/>
          <w:sz w:val="32"/>
          <w:szCs w:val="32"/>
          <w:highlight w:val="none"/>
          <w:u w:val="none"/>
          <w:lang w:val="en-US" w:eastAsia="zh-CN"/>
        </w:rPr>
        <w:t>企业负责人</w:t>
      </w:r>
      <w:r>
        <w:rPr>
          <w:rFonts w:hint="eastAsia" w:ascii="仿宋_GB2312" w:hAnsi="仿宋_GB2312" w:eastAsia="仿宋_GB2312" w:cs="仿宋_GB2312"/>
          <w:color w:val="auto"/>
          <w:spacing w:val="0"/>
          <w:sz w:val="32"/>
          <w:szCs w:val="32"/>
          <w:highlight w:val="none"/>
          <w:u w:val="none"/>
          <w:lang w:eastAsia="zh-CN"/>
        </w:rPr>
        <w:t>薪酬</w:t>
      </w:r>
      <w:r>
        <w:rPr>
          <w:rFonts w:hint="eastAsia" w:ascii="仿宋_GB2312" w:hAnsi="仿宋_GB2312" w:eastAsia="仿宋_GB2312" w:cs="仿宋_GB2312"/>
          <w:color w:val="auto"/>
          <w:spacing w:val="0"/>
          <w:sz w:val="32"/>
          <w:szCs w:val="32"/>
          <w:highlight w:val="none"/>
          <w:u w:val="none"/>
          <w:lang w:val="zh-CN" w:eastAsia="zh-CN"/>
        </w:rPr>
        <w:t>分配</w:t>
      </w:r>
      <w:r>
        <w:rPr>
          <w:rFonts w:hint="eastAsia" w:ascii="仿宋_GB2312" w:hAnsi="仿宋_GB2312" w:eastAsia="仿宋_GB2312" w:cs="仿宋_GB2312"/>
          <w:color w:val="auto"/>
          <w:spacing w:val="0"/>
          <w:sz w:val="32"/>
          <w:szCs w:val="32"/>
          <w:highlight w:val="none"/>
          <w:u w:val="none"/>
          <w:lang w:eastAsia="zh-CN"/>
        </w:rPr>
        <w:t>制度，增强激励约束作用，强化企业负责人责任，激发企业发展活力。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pacing w:val="0"/>
          <w:sz w:val="32"/>
          <w:szCs w:val="32"/>
          <w:highlight w:val="none"/>
          <w:u w:val="none"/>
          <w:lang w:val="en-US" w:eastAsia="zh-CN"/>
        </w:rPr>
      </w:pPr>
      <w:bookmarkStart w:id="0" w:name="bookmark6"/>
      <w:r>
        <w:rPr>
          <w:rStyle w:val="12"/>
          <w:rFonts w:hint="eastAsia" w:ascii="仿宋_GB2312" w:hAnsi="仿宋_GB2312" w:eastAsia="仿宋_GB2312" w:cs="仿宋_GB2312"/>
          <w:b/>
          <w:bCs/>
          <w:sz w:val="32"/>
          <w:szCs w:val="32"/>
          <w:lang w:val="en-US" w:eastAsia="zh-CN"/>
        </w:rPr>
        <w:t>（二）坚持业绩导向。</w:t>
      </w:r>
      <w:r>
        <w:rPr>
          <w:rFonts w:hint="eastAsia" w:ascii="仿宋_GB2312" w:hAnsi="仿宋_GB2312" w:eastAsia="仿宋_GB2312" w:cs="仿宋_GB2312"/>
          <w:color w:val="auto"/>
          <w:spacing w:val="0"/>
          <w:sz w:val="32"/>
          <w:szCs w:val="32"/>
          <w:highlight w:val="none"/>
          <w:u w:val="none"/>
          <w:lang w:val="en-US" w:eastAsia="zh-CN"/>
        </w:rPr>
        <w:t>按照增量业绩贡献决定薪酬分配原则，企业负责人薪酬与企业经济效益、业绩考核结果“双挂钩”，做到“业绩升、薪酬升，业绩降、薪酬降”，持续提升薪酬分配的激励约束作用。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pacing w:val="0"/>
          <w:sz w:val="32"/>
          <w:szCs w:val="32"/>
          <w:highlight w:val="none"/>
          <w:u w:val="none"/>
          <w:lang w:val="en-US" w:eastAsia="zh-CN"/>
        </w:rPr>
      </w:pPr>
      <w:r>
        <w:rPr>
          <w:rStyle w:val="12"/>
          <w:rFonts w:hint="eastAsia" w:ascii="仿宋_GB2312" w:hAnsi="仿宋_GB2312" w:eastAsia="仿宋_GB2312" w:cs="仿宋_GB2312"/>
          <w:b/>
          <w:bCs/>
          <w:sz w:val="32"/>
          <w:szCs w:val="32"/>
          <w:lang w:eastAsia="zh-CN"/>
        </w:rPr>
        <w:t>（</w:t>
      </w:r>
      <w:bookmarkEnd w:id="0"/>
      <w:r>
        <w:rPr>
          <w:rStyle w:val="12"/>
          <w:rFonts w:hint="eastAsia" w:ascii="仿宋_GB2312" w:hAnsi="仿宋_GB2312" w:eastAsia="仿宋_GB2312" w:cs="仿宋_GB2312"/>
          <w:b/>
          <w:bCs/>
          <w:sz w:val="32"/>
          <w:szCs w:val="32"/>
          <w:lang w:val="en-US" w:eastAsia="zh-CN"/>
        </w:rPr>
        <w:t>三</w:t>
      </w:r>
      <w:r>
        <w:rPr>
          <w:rStyle w:val="12"/>
          <w:rFonts w:hint="eastAsia" w:ascii="仿宋_GB2312" w:hAnsi="仿宋_GB2312" w:eastAsia="仿宋_GB2312" w:cs="仿宋_GB2312"/>
          <w:b/>
          <w:bCs/>
          <w:sz w:val="32"/>
          <w:szCs w:val="32"/>
          <w:lang w:eastAsia="zh-CN"/>
        </w:rPr>
        <w:t>）坚持</w:t>
      </w:r>
      <w:r>
        <w:rPr>
          <w:rStyle w:val="12"/>
          <w:rFonts w:hint="eastAsia" w:ascii="仿宋_GB2312" w:hAnsi="仿宋_GB2312" w:eastAsia="仿宋_GB2312" w:cs="仿宋_GB2312"/>
          <w:b/>
          <w:bCs/>
          <w:sz w:val="32"/>
          <w:szCs w:val="32"/>
          <w:lang w:val="en-US" w:eastAsia="zh-CN"/>
        </w:rPr>
        <w:t>分类分级</w:t>
      </w:r>
      <w:r>
        <w:rPr>
          <w:rStyle w:val="12"/>
          <w:rFonts w:hint="eastAsia" w:ascii="仿宋_GB2312" w:hAnsi="仿宋_GB2312" w:eastAsia="仿宋_GB2312" w:cs="仿宋_GB2312"/>
          <w:b/>
          <w:bCs/>
          <w:sz w:val="32"/>
          <w:szCs w:val="32"/>
          <w:lang w:eastAsia="zh-CN"/>
        </w:rPr>
        <w:t>管理。</w:t>
      </w:r>
      <w:r>
        <w:rPr>
          <w:rFonts w:hint="eastAsia" w:ascii="仿宋_GB2312" w:hAnsi="仿宋_GB2312" w:eastAsia="仿宋_GB2312" w:cs="仿宋_GB2312"/>
          <w:color w:val="auto"/>
          <w:spacing w:val="0"/>
          <w:sz w:val="32"/>
          <w:szCs w:val="32"/>
          <w:highlight w:val="none"/>
          <w:u w:val="none"/>
          <w:lang w:eastAsia="zh-CN"/>
        </w:rPr>
        <w:t>建立与企业负责人选任方式相匹配、与企业功能定位相适应、</w:t>
      </w:r>
      <w:r>
        <w:rPr>
          <w:rFonts w:hint="eastAsia" w:ascii="仿宋_GB2312" w:hAnsi="仿宋_GB2312" w:eastAsia="仿宋_GB2312" w:cs="仿宋_GB2312"/>
          <w:color w:val="auto"/>
          <w:spacing w:val="0"/>
          <w:sz w:val="32"/>
          <w:szCs w:val="32"/>
          <w:highlight w:val="none"/>
          <w:u w:val="none"/>
          <w:lang w:val="en-US" w:eastAsia="zh-CN"/>
        </w:rPr>
        <w:t>与经营业绩相挂钩</w:t>
      </w:r>
      <w:r>
        <w:rPr>
          <w:rFonts w:hint="eastAsia" w:ascii="仿宋_GB2312" w:hAnsi="仿宋_GB2312" w:eastAsia="仿宋_GB2312" w:cs="仿宋_GB2312"/>
          <w:color w:val="auto"/>
          <w:spacing w:val="0"/>
          <w:sz w:val="32"/>
          <w:szCs w:val="32"/>
          <w:highlight w:val="none"/>
          <w:u w:val="none"/>
          <w:lang w:eastAsia="zh-CN"/>
        </w:rPr>
        <w:t>的差异化薪酬管理制度，严格规范国资任命的企业负责人薪酬分配，市场化选聘的职业经理人</w:t>
      </w:r>
      <w:r>
        <w:rPr>
          <w:rFonts w:hint="eastAsia" w:ascii="仿宋_GB2312" w:hAnsi="仿宋_GB2312" w:eastAsia="仿宋_GB2312" w:cs="仿宋_GB2312"/>
          <w:color w:val="auto"/>
          <w:spacing w:val="0"/>
          <w:sz w:val="32"/>
          <w:szCs w:val="32"/>
          <w:highlight w:val="none"/>
          <w:u w:val="none"/>
          <w:lang w:val="en-US" w:eastAsia="zh-CN"/>
        </w:rPr>
        <w:t>实行</w:t>
      </w:r>
      <w:r>
        <w:rPr>
          <w:rFonts w:hint="eastAsia" w:ascii="仿宋_GB2312" w:hAnsi="仿宋_GB2312" w:eastAsia="仿宋_GB2312" w:cs="仿宋_GB2312"/>
          <w:color w:val="auto"/>
          <w:spacing w:val="0"/>
          <w:sz w:val="32"/>
          <w:szCs w:val="32"/>
          <w:highlight w:val="none"/>
          <w:u w:val="none"/>
          <w:lang w:eastAsia="zh-CN"/>
        </w:rPr>
        <w:t>市场化薪酬分配机制。</w:t>
      </w:r>
      <w:r>
        <w:rPr>
          <w:rFonts w:hint="eastAsia" w:ascii="仿宋_GB2312" w:hAnsi="仿宋_GB2312" w:eastAsia="仿宋_GB2312" w:cs="仿宋_GB2312"/>
          <w:color w:val="auto"/>
          <w:spacing w:val="0"/>
          <w:sz w:val="32"/>
          <w:szCs w:val="32"/>
          <w:highlight w:val="none"/>
          <w:u w:val="none"/>
          <w:lang w:val="en-US" w:eastAsia="zh-CN"/>
        </w:rPr>
        <w:t>国资局统筹指导监管企业合理确定并严格规范所属各级企业负责人薪酬分配。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pacing w:val="0"/>
          <w:sz w:val="32"/>
          <w:szCs w:val="32"/>
          <w:highlight w:val="none"/>
          <w:u w:val="none"/>
          <w:lang w:val="en-US" w:eastAsia="zh-CN"/>
        </w:rPr>
      </w:pPr>
      <w:bookmarkStart w:id="1" w:name="bookmark7"/>
      <w:r>
        <w:rPr>
          <w:rStyle w:val="12"/>
          <w:rFonts w:hint="eastAsia" w:ascii="仿宋_GB2312" w:hAnsi="仿宋_GB2312" w:eastAsia="仿宋_GB2312" w:cs="仿宋_GB2312"/>
          <w:b/>
          <w:bCs/>
          <w:sz w:val="32"/>
          <w:szCs w:val="32"/>
          <w:lang w:eastAsia="zh-CN"/>
        </w:rPr>
        <w:t>（</w:t>
      </w:r>
      <w:bookmarkEnd w:id="1"/>
      <w:r>
        <w:rPr>
          <w:rStyle w:val="12"/>
          <w:rFonts w:hint="eastAsia" w:ascii="仿宋_GB2312" w:hAnsi="仿宋_GB2312" w:eastAsia="仿宋_GB2312" w:cs="仿宋_GB2312"/>
          <w:b/>
          <w:bCs/>
          <w:sz w:val="32"/>
          <w:szCs w:val="32"/>
          <w:lang w:val="en-US" w:eastAsia="zh-CN"/>
        </w:rPr>
        <w:t>四</w:t>
      </w:r>
      <w:r>
        <w:rPr>
          <w:rStyle w:val="12"/>
          <w:rFonts w:hint="eastAsia" w:ascii="仿宋_GB2312" w:hAnsi="仿宋_GB2312" w:eastAsia="仿宋_GB2312" w:cs="仿宋_GB2312"/>
          <w:b/>
          <w:bCs/>
          <w:sz w:val="32"/>
          <w:szCs w:val="32"/>
          <w:lang w:eastAsia="zh-CN"/>
        </w:rPr>
        <w:t>）坚持统筹兼顾。</w:t>
      </w:r>
      <w:r>
        <w:rPr>
          <w:rFonts w:hint="eastAsia" w:ascii="仿宋_GB2312" w:hAnsi="仿宋_GB2312" w:eastAsia="仿宋_GB2312" w:cs="仿宋_GB2312"/>
          <w:color w:val="auto"/>
          <w:spacing w:val="0"/>
          <w:sz w:val="32"/>
          <w:szCs w:val="32"/>
          <w:highlight w:val="none"/>
          <w:u w:val="none"/>
          <w:lang w:eastAsia="zh-CN"/>
        </w:rPr>
        <w:t>健全企业负责人</w:t>
      </w:r>
      <w:r>
        <w:rPr>
          <w:rFonts w:hint="eastAsia" w:ascii="仿宋_GB2312" w:hAnsi="仿宋_GB2312" w:eastAsia="仿宋_GB2312" w:cs="仿宋_GB2312"/>
          <w:color w:val="auto"/>
          <w:spacing w:val="0"/>
          <w:sz w:val="32"/>
          <w:szCs w:val="32"/>
          <w:highlight w:val="none"/>
          <w:u w:val="none"/>
          <w:lang w:val="en-US" w:eastAsia="zh-CN"/>
        </w:rPr>
        <w:t>薪酬</w:t>
      </w:r>
      <w:r>
        <w:rPr>
          <w:rFonts w:hint="eastAsia" w:ascii="仿宋_GB2312" w:hAnsi="仿宋_GB2312" w:eastAsia="仿宋_GB2312" w:cs="仿宋_GB2312"/>
          <w:color w:val="auto"/>
          <w:spacing w:val="0"/>
          <w:sz w:val="32"/>
          <w:szCs w:val="32"/>
          <w:highlight w:val="none"/>
          <w:u w:val="none"/>
          <w:lang w:eastAsia="zh-CN"/>
        </w:rPr>
        <w:t>与职工工资增长相协调的收入分配机制，形成合理的工资收入分配关系，促进社会公平正义。</w:t>
      </w:r>
      <w:r>
        <w:rPr>
          <w:rFonts w:hint="eastAsia" w:ascii="仿宋_GB2312" w:hAnsi="仿宋_GB2312" w:eastAsia="仿宋_GB2312" w:cs="仿宋_GB2312"/>
          <w:color w:val="auto"/>
          <w:spacing w:val="0"/>
          <w:sz w:val="32"/>
          <w:szCs w:val="32"/>
          <w:highlight w:val="none"/>
          <w:u w:val="none"/>
          <w:lang w:val="en-US" w:eastAsia="zh-CN"/>
        </w:rPr>
        <w:t>严格落实工资总额管理要求，将国有企业及所属实管实控的各级子企业纳入工资总额管理，强化工资与效益联动，国有企业经济效益下降后至完全恢复前，其工资总额原则上不得高于经济效益下降前的水平。</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pacing w:val="0"/>
          <w:sz w:val="32"/>
          <w:szCs w:val="32"/>
          <w:highlight w:val="none"/>
          <w:u w:val="none"/>
          <w:lang w:eastAsia="zh-CN"/>
        </w:rPr>
      </w:pPr>
      <w:bookmarkStart w:id="2" w:name="bookmark8"/>
      <w:r>
        <w:rPr>
          <w:rStyle w:val="12"/>
          <w:rFonts w:hint="eastAsia" w:ascii="仿宋_GB2312" w:hAnsi="仿宋_GB2312" w:eastAsia="仿宋_GB2312" w:cs="仿宋_GB2312"/>
          <w:b/>
          <w:bCs/>
          <w:sz w:val="32"/>
          <w:szCs w:val="32"/>
          <w:lang w:eastAsia="zh-CN"/>
        </w:rPr>
        <w:t>（</w:t>
      </w:r>
      <w:bookmarkEnd w:id="2"/>
      <w:r>
        <w:rPr>
          <w:rStyle w:val="12"/>
          <w:rFonts w:hint="eastAsia" w:ascii="仿宋_GB2312" w:hAnsi="仿宋_GB2312" w:eastAsia="仿宋_GB2312" w:cs="仿宋_GB2312"/>
          <w:b/>
          <w:bCs/>
          <w:sz w:val="32"/>
          <w:szCs w:val="32"/>
          <w:lang w:val="en-US" w:eastAsia="zh-CN"/>
        </w:rPr>
        <w:t>五</w:t>
      </w:r>
      <w:r>
        <w:rPr>
          <w:rStyle w:val="12"/>
          <w:rFonts w:hint="eastAsia" w:ascii="仿宋_GB2312" w:hAnsi="仿宋_GB2312" w:eastAsia="仿宋_GB2312" w:cs="仿宋_GB2312"/>
          <w:b/>
          <w:bCs/>
          <w:sz w:val="32"/>
          <w:szCs w:val="32"/>
          <w:lang w:eastAsia="zh-CN"/>
        </w:rPr>
        <w:t>）坚持出资人监管和企业自律相结合。</w:t>
      </w:r>
      <w:r>
        <w:rPr>
          <w:rFonts w:hint="eastAsia" w:ascii="仿宋_GB2312" w:hAnsi="仿宋_GB2312" w:eastAsia="仿宋_GB2312" w:cs="仿宋_GB2312"/>
          <w:color w:val="auto"/>
          <w:spacing w:val="0"/>
          <w:sz w:val="32"/>
          <w:szCs w:val="32"/>
          <w:highlight w:val="none"/>
          <w:u w:val="none"/>
          <w:lang w:eastAsia="zh-CN"/>
        </w:rPr>
        <w:t>强化出资人、社会和内部监督，建立管理规范、约束有力、公开透明、监督有效的企业负责人薪酬监管体制机制，规范收入分配秩序。</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0"/>
          <w:sz w:val="36"/>
          <w:szCs w:val="36"/>
          <w:highlight w:val="none"/>
          <w:u w:val="none"/>
          <w:lang w:val="en-US" w:eastAsia="zh-CN"/>
        </w:rPr>
      </w:pPr>
      <w:r>
        <w:rPr>
          <w:rFonts w:hint="default" w:ascii="Times New Roman" w:hAnsi="Times New Roman" w:eastAsia="黑体" w:cs="Times New Roman"/>
          <w:color w:val="auto"/>
          <w:spacing w:val="0"/>
          <w:sz w:val="36"/>
          <w:szCs w:val="36"/>
          <w:highlight w:val="none"/>
          <w:u w:val="none"/>
          <w:lang w:eastAsia="zh-CN"/>
        </w:rPr>
        <w:t>第二章  薪酬构成、确定</w:t>
      </w:r>
      <w:r>
        <w:rPr>
          <w:rFonts w:hint="default" w:ascii="Times New Roman" w:hAnsi="Times New Roman" w:eastAsia="黑体" w:cs="Times New Roman"/>
          <w:color w:val="auto"/>
          <w:spacing w:val="0"/>
          <w:sz w:val="36"/>
          <w:szCs w:val="36"/>
          <w:highlight w:val="none"/>
          <w:u w:val="none"/>
          <w:lang w:val="en-US" w:eastAsia="zh-CN"/>
        </w:rPr>
        <w:t>及支付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四</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企业负责人薪酬</w:t>
      </w:r>
      <w:r>
        <w:rPr>
          <w:rFonts w:hint="eastAsia" w:ascii="仿宋_GB2312" w:hAnsi="仿宋_GB2312" w:eastAsia="仿宋_GB2312" w:cs="仿宋_GB2312"/>
          <w:color w:val="auto"/>
          <w:spacing w:val="0"/>
          <w:sz w:val="32"/>
          <w:szCs w:val="32"/>
          <w:highlight w:val="none"/>
          <w:u w:val="none"/>
          <w:lang w:val="en-US" w:eastAsia="zh-CN"/>
        </w:rPr>
        <w:t>分为激励年薪制和固定薪酬制</w:t>
      </w:r>
      <w:r>
        <w:rPr>
          <w:rFonts w:hint="eastAsia" w:ascii="仿宋_GB2312" w:hAnsi="仿宋_GB2312" w:eastAsia="仿宋_GB2312" w:cs="仿宋_GB2312"/>
          <w:b w:val="0"/>
          <w:bCs w:val="0"/>
          <w:i w:val="0"/>
          <w:iCs w:val="0"/>
          <w:color w:val="auto"/>
          <w:spacing w:val="0"/>
          <w:sz w:val="32"/>
          <w:szCs w:val="32"/>
          <w:highlight w:val="none"/>
          <w:u w:val="none"/>
          <w:lang w:val="en-US" w:eastAsia="zh-CN"/>
        </w:rPr>
        <w:t xml:space="preserve">，其中：竞争型企业实行激励年薪制，其他类型企业实行固定年薪制。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激励年薪制</w:t>
      </w:r>
      <w:r>
        <w:rPr>
          <w:rFonts w:hint="eastAsia" w:ascii="仿宋_GB2312" w:hAnsi="仿宋_GB2312" w:eastAsia="仿宋_GB2312" w:cs="仿宋_GB2312"/>
          <w:color w:val="auto"/>
          <w:spacing w:val="0"/>
          <w:sz w:val="32"/>
          <w:szCs w:val="32"/>
          <w:highlight w:val="none"/>
          <w:u w:val="none"/>
          <w:lang w:eastAsia="zh-CN"/>
        </w:rPr>
        <w:t>由基本薪酬、绩效薪酬、任期激励收入</w:t>
      </w:r>
      <w:r>
        <w:rPr>
          <w:rFonts w:hint="eastAsia" w:ascii="仿宋_GB2312" w:hAnsi="仿宋_GB2312" w:eastAsia="仿宋_GB2312" w:cs="仿宋_GB2312"/>
          <w:color w:val="auto"/>
          <w:spacing w:val="0"/>
          <w:sz w:val="32"/>
          <w:szCs w:val="32"/>
          <w:highlight w:val="none"/>
          <w:u w:val="none"/>
          <w:lang w:val="en-US" w:eastAsia="zh-CN"/>
        </w:rPr>
        <w:t>三</w:t>
      </w:r>
      <w:r>
        <w:rPr>
          <w:rFonts w:hint="eastAsia" w:ascii="仿宋_GB2312" w:hAnsi="仿宋_GB2312" w:eastAsia="仿宋_GB2312" w:cs="仿宋_GB2312"/>
          <w:color w:val="auto"/>
          <w:spacing w:val="0"/>
          <w:sz w:val="32"/>
          <w:szCs w:val="32"/>
          <w:highlight w:val="none"/>
          <w:u w:val="none"/>
          <w:lang w:eastAsia="zh-CN"/>
        </w:rPr>
        <w:t>部分构成。</w:t>
      </w:r>
      <w:r>
        <w:rPr>
          <w:rFonts w:hint="eastAsia" w:ascii="仿宋_GB2312" w:hAnsi="仿宋_GB2312" w:eastAsia="仿宋_GB2312" w:cs="仿宋_GB2312"/>
          <w:color w:val="auto"/>
          <w:spacing w:val="0"/>
          <w:sz w:val="32"/>
          <w:szCs w:val="32"/>
          <w:highlight w:val="none"/>
          <w:u w:val="none"/>
          <w:lang w:val="en-US" w:eastAsia="zh-CN"/>
        </w:rPr>
        <w:t>固定薪酬制薪酬构成和考核详见《奎屯市市属国有企业负责人固定薪酬制方案》（附件1）。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五</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基本薪酬是企业负责人的年度基本收入，不与企业经济效益挂钩，根据基本薪酬基数和基本薪酬调节系数确定，原则上每年核定一次，按月进行支付。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b/>
          <w:bCs/>
          <w:color w:val="auto"/>
          <w:spacing w:val="0"/>
          <w:sz w:val="32"/>
          <w:szCs w:val="32"/>
          <w:highlight w:val="none"/>
          <w:u w:val="none"/>
          <w:lang w:eastAsia="zh-CN"/>
        </w:rPr>
        <w:t>基本薪酬基数</w:t>
      </w:r>
      <w:r>
        <w:rPr>
          <w:rFonts w:hint="eastAsia" w:ascii="仿宋_GB2312" w:hAnsi="仿宋_GB2312" w:eastAsia="仿宋_GB2312" w:cs="仿宋_GB2312"/>
          <w:b w:val="0"/>
          <w:bCs w:val="0"/>
          <w:color w:val="auto"/>
          <w:spacing w:val="0"/>
          <w:sz w:val="32"/>
          <w:szCs w:val="32"/>
          <w:highlight w:val="none"/>
          <w:u w:val="none"/>
          <w:lang w:val="en-US" w:eastAsia="zh-CN"/>
        </w:rPr>
        <w:t>以</w:t>
      </w:r>
      <w:r>
        <w:rPr>
          <w:rFonts w:hint="eastAsia" w:ascii="仿宋_GB2312" w:hAnsi="仿宋_GB2312" w:eastAsia="仿宋_GB2312" w:cs="仿宋_GB2312"/>
          <w:color w:val="auto"/>
          <w:spacing w:val="0"/>
          <w:sz w:val="32"/>
          <w:szCs w:val="32"/>
          <w:highlight w:val="none"/>
          <w:u w:val="none"/>
          <w:lang w:val="en-US" w:eastAsia="zh-CN"/>
        </w:rPr>
        <w:t>由</w:t>
      </w:r>
      <w:r>
        <w:rPr>
          <w:rFonts w:hint="eastAsia" w:ascii="仿宋_GB2312" w:hAnsi="仿宋_GB2312" w:eastAsia="仿宋_GB2312" w:cs="仿宋_GB2312"/>
          <w:color w:val="auto"/>
          <w:spacing w:val="0"/>
          <w:sz w:val="32"/>
          <w:szCs w:val="32"/>
          <w:highlight w:val="none"/>
          <w:u w:val="none"/>
          <w:lang w:eastAsia="zh-CN"/>
        </w:rPr>
        <w:t>自治州人力资源和社会保障局</w:t>
      </w:r>
      <w:r>
        <w:rPr>
          <w:rFonts w:hint="eastAsia" w:ascii="仿宋_GB2312" w:hAnsi="仿宋_GB2312" w:eastAsia="仿宋_GB2312" w:cs="仿宋_GB2312"/>
          <w:color w:val="auto"/>
          <w:spacing w:val="0"/>
          <w:sz w:val="32"/>
          <w:szCs w:val="32"/>
          <w:highlight w:val="none"/>
          <w:u w:val="none"/>
          <w:lang w:val="en-US" w:eastAsia="zh-CN"/>
        </w:rPr>
        <w:t>发布的</w:t>
      </w:r>
      <w:r>
        <w:rPr>
          <w:rFonts w:hint="eastAsia" w:ascii="仿宋_GB2312" w:hAnsi="仿宋_GB2312" w:eastAsia="仿宋_GB2312" w:cs="仿宋_GB2312"/>
          <w:b w:val="0"/>
          <w:bCs w:val="0"/>
          <w:color w:val="auto"/>
          <w:spacing w:val="0"/>
          <w:sz w:val="32"/>
          <w:szCs w:val="32"/>
          <w:highlight w:val="none"/>
          <w:u w:val="none"/>
          <w:lang w:val="en-US" w:eastAsia="zh-CN"/>
        </w:rPr>
        <w:t>最近一个年度州本级国有企业在岗职工平均工资为准</w:t>
      </w:r>
      <w:r>
        <w:rPr>
          <w:rFonts w:hint="eastAsia" w:ascii="仿宋_GB2312" w:hAnsi="仿宋_GB2312" w:eastAsia="仿宋_GB2312" w:cs="仿宋_GB2312"/>
          <w:color w:val="auto"/>
          <w:spacing w:val="0"/>
          <w:sz w:val="32"/>
          <w:szCs w:val="32"/>
          <w:highlight w:val="none"/>
          <w:u w:val="none"/>
          <w:lang w:val="en-US" w:eastAsia="zh-CN"/>
        </w:rPr>
        <w:t>。</w:t>
      </w:r>
      <w:r>
        <w:rPr>
          <w:rFonts w:hint="eastAsia" w:ascii="仿宋_GB2312" w:hAnsi="仿宋_GB2312" w:eastAsia="仿宋_GB2312" w:cs="仿宋_GB2312"/>
          <w:b/>
          <w:bCs/>
          <w:color w:val="auto"/>
          <w:spacing w:val="0"/>
          <w:sz w:val="32"/>
          <w:szCs w:val="32"/>
          <w:highlight w:val="none"/>
          <w:u w:val="none"/>
          <w:lang w:eastAsia="zh-CN"/>
        </w:rPr>
        <w:t>基本薪酬调节系数</w:t>
      </w:r>
      <w:r>
        <w:rPr>
          <w:rFonts w:hint="eastAsia" w:ascii="仿宋_GB2312" w:hAnsi="仿宋_GB2312" w:eastAsia="仿宋_GB2312" w:cs="仿宋_GB2312"/>
          <w:color w:val="auto"/>
          <w:spacing w:val="0"/>
          <w:sz w:val="32"/>
          <w:szCs w:val="32"/>
          <w:highlight w:val="none"/>
          <w:u w:val="none"/>
          <w:lang w:eastAsia="zh-CN"/>
        </w:rPr>
        <w:t>在对资产总额、</w:t>
      </w:r>
      <w:r>
        <w:rPr>
          <w:rFonts w:hint="eastAsia" w:ascii="仿宋_GB2312" w:hAnsi="仿宋_GB2312" w:eastAsia="仿宋_GB2312" w:cs="仿宋_GB2312"/>
          <w:color w:val="auto"/>
          <w:spacing w:val="0"/>
          <w:sz w:val="32"/>
          <w:szCs w:val="32"/>
          <w:highlight w:val="none"/>
          <w:u w:val="none"/>
          <w:lang w:val="en-US" w:eastAsia="zh-CN"/>
        </w:rPr>
        <w:t>净资产占比、从业</w:t>
      </w:r>
      <w:r>
        <w:rPr>
          <w:rFonts w:hint="eastAsia" w:ascii="仿宋_GB2312" w:hAnsi="仿宋_GB2312" w:eastAsia="仿宋_GB2312" w:cs="仿宋_GB2312"/>
          <w:color w:val="auto"/>
          <w:spacing w:val="0"/>
          <w:sz w:val="32"/>
          <w:szCs w:val="32"/>
          <w:highlight w:val="none"/>
          <w:u w:val="none"/>
          <w:lang w:eastAsia="zh-CN"/>
        </w:rPr>
        <w:t>人员、</w:t>
      </w:r>
      <w:r>
        <w:rPr>
          <w:rFonts w:hint="eastAsia" w:ascii="仿宋_GB2312" w:hAnsi="仿宋_GB2312" w:eastAsia="仿宋_GB2312" w:cs="仿宋_GB2312"/>
          <w:color w:val="auto"/>
          <w:spacing w:val="0"/>
          <w:sz w:val="32"/>
          <w:szCs w:val="32"/>
          <w:highlight w:val="none"/>
          <w:u w:val="none"/>
          <w:lang w:val="en-US" w:eastAsia="zh-CN"/>
        </w:rPr>
        <w:t>功能界定分类、企业管理类别</w:t>
      </w:r>
      <w:r>
        <w:rPr>
          <w:rFonts w:hint="eastAsia" w:ascii="仿宋_GB2312" w:hAnsi="仿宋_GB2312" w:eastAsia="仿宋_GB2312" w:cs="仿宋_GB2312"/>
          <w:color w:val="auto"/>
          <w:spacing w:val="0"/>
          <w:sz w:val="32"/>
          <w:szCs w:val="32"/>
          <w:highlight w:val="none"/>
          <w:u w:val="none"/>
          <w:lang w:eastAsia="zh-CN"/>
        </w:rPr>
        <w:t>等指标加权计算的基础上综合确定，最高不超过2，</w:t>
      </w:r>
      <w:r>
        <w:rPr>
          <w:rFonts w:hint="eastAsia" w:ascii="仿宋_GB2312" w:hAnsi="仿宋_GB2312" w:eastAsia="仿宋_GB2312" w:cs="仿宋_GB2312"/>
          <w:color w:val="auto"/>
          <w:spacing w:val="0"/>
          <w:sz w:val="32"/>
          <w:szCs w:val="32"/>
          <w:highlight w:val="none"/>
          <w:u w:val="none"/>
          <w:lang w:val="en-US" w:eastAsia="zh-CN"/>
        </w:rPr>
        <w:t>详见《基本薪酬调节系数表》</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val="en-US" w:eastAsia="zh-CN"/>
        </w:rPr>
        <w:t>附件2</w:t>
      </w:r>
      <w:r>
        <w:rPr>
          <w:rFonts w:hint="eastAsia" w:ascii="仿宋_GB2312" w:hAnsi="仿宋_GB2312" w:eastAsia="仿宋_GB2312" w:cs="仿宋_GB2312"/>
          <w:color w:val="auto"/>
          <w:spacing w:val="0"/>
          <w:sz w:val="32"/>
          <w:szCs w:val="32"/>
          <w:highlight w:val="none"/>
          <w:u w:val="none"/>
          <w:lang w:eastAsia="zh-CN"/>
        </w:rPr>
        <w:t>）。</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六</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绩效薪酬是与企业负责人年度</w:t>
      </w:r>
      <w:r>
        <w:rPr>
          <w:rFonts w:hint="eastAsia" w:ascii="仿宋_GB2312" w:hAnsi="仿宋_GB2312" w:eastAsia="仿宋_GB2312" w:cs="仿宋_GB2312"/>
          <w:color w:val="auto"/>
          <w:spacing w:val="0"/>
          <w:sz w:val="32"/>
          <w:szCs w:val="32"/>
          <w:highlight w:val="none"/>
          <w:u w:val="none"/>
          <w:lang w:val="en-US" w:eastAsia="zh-CN"/>
        </w:rPr>
        <w:t>经营业绩</w:t>
      </w:r>
      <w:r>
        <w:rPr>
          <w:rFonts w:hint="eastAsia" w:ascii="仿宋_GB2312" w:hAnsi="仿宋_GB2312" w:eastAsia="仿宋_GB2312" w:cs="仿宋_GB2312"/>
          <w:color w:val="auto"/>
          <w:spacing w:val="0"/>
          <w:sz w:val="32"/>
          <w:szCs w:val="32"/>
          <w:highlight w:val="none"/>
          <w:u w:val="none"/>
          <w:lang w:eastAsia="zh-CN"/>
        </w:rPr>
        <w:t>考核结果相联系的收入，以基本薪酬为基数，根据年度考核评价</w:t>
      </w:r>
      <w:r>
        <w:rPr>
          <w:rFonts w:hint="eastAsia" w:ascii="仿宋_GB2312" w:hAnsi="仿宋_GB2312" w:eastAsia="仿宋_GB2312" w:cs="仿宋_GB2312"/>
          <w:color w:val="auto"/>
          <w:spacing w:val="0"/>
          <w:sz w:val="32"/>
          <w:szCs w:val="32"/>
          <w:highlight w:val="none"/>
          <w:u w:val="none"/>
          <w:lang w:val="en-US" w:eastAsia="zh-CN"/>
        </w:rPr>
        <w:t>结果和</w:t>
      </w:r>
      <w:r>
        <w:rPr>
          <w:rFonts w:hint="eastAsia" w:ascii="仿宋_GB2312" w:hAnsi="仿宋_GB2312" w:eastAsia="仿宋_GB2312" w:cs="仿宋_GB2312"/>
          <w:color w:val="auto"/>
          <w:spacing w:val="0"/>
          <w:sz w:val="32"/>
          <w:szCs w:val="32"/>
          <w:highlight w:val="none"/>
          <w:u w:val="none"/>
          <w:lang w:eastAsia="zh-CN"/>
        </w:rPr>
        <w:t>绩效薪酬调节系数确定，</w:t>
      </w:r>
      <w:r>
        <w:rPr>
          <w:rFonts w:hint="eastAsia" w:ascii="仿宋_GB2312" w:hAnsi="仿宋_GB2312" w:eastAsia="仿宋_GB2312" w:cs="仿宋_GB2312"/>
          <w:color w:val="auto"/>
          <w:spacing w:val="0"/>
          <w:sz w:val="32"/>
          <w:szCs w:val="32"/>
          <w:highlight w:val="none"/>
          <w:u w:val="none"/>
          <w:lang w:val="en-US" w:eastAsia="zh-CN"/>
        </w:rPr>
        <w:t>可视上年考核结果按月预支付。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b/>
          <w:bCs/>
          <w:color w:val="auto"/>
          <w:spacing w:val="0"/>
          <w:sz w:val="32"/>
          <w:szCs w:val="32"/>
          <w:highlight w:val="none"/>
          <w:u w:val="none"/>
          <w:lang w:eastAsia="zh-CN"/>
        </w:rPr>
        <w:t>绩效薪酬调节系数</w:t>
      </w:r>
      <w:r>
        <w:rPr>
          <w:rFonts w:hint="eastAsia" w:ascii="仿宋_GB2312" w:hAnsi="仿宋_GB2312" w:eastAsia="仿宋_GB2312" w:cs="仿宋_GB2312"/>
          <w:color w:val="auto"/>
          <w:spacing w:val="0"/>
          <w:sz w:val="32"/>
          <w:szCs w:val="32"/>
          <w:highlight w:val="none"/>
          <w:u w:val="none"/>
          <w:lang w:eastAsia="zh-CN"/>
        </w:rPr>
        <w:t>根据企业功能定位和资产总额、净资产总额、营业收入、利润总额、从业人员等因素计算确定，最高不超过1.5，</w:t>
      </w:r>
      <w:r>
        <w:rPr>
          <w:rFonts w:hint="eastAsia" w:ascii="仿宋_GB2312" w:hAnsi="仿宋_GB2312" w:eastAsia="仿宋_GB2312" w:cs="仿宋_GB2312"/>
          <w:color w:val="auto"/>
          <w:spacing w:val="0"/>
          <w:sz w:val="32"/>
          <w:szCs w:val="32"/>
          <w:highlight w:val="none"/>
          <w:u w:val="none"/>
          <w:lang w:val="en-US" w:eastAsia="zh-CN"/>
        </w:rPr>
        <w:t>每年核定一次，详见《绩效薪酬调节系数表》</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val="en-US" w:eastAsia="zh-CN"/>
        </w:rPr>
        <w:t>附件3</w:t>
      </w:r>
      <w:r>
        <w:rPr>
          <w:rFonts w:hint="eastAsia" w:ascii="仿宋_GB2312" w:hAnsi="仿宋_GB2312" w:eastAsia="仿宋_GB2312" w:cs="仿宋_GB2312"/>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七</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任期激励收入是与企业负责人任期考核评价结果相联系的收入，以三年为一个考核期，在不超过企业负责人任期内年度薪酬总水平的30%以内确定。按照先考核后兑现原则，采取延期两年支付</w:t>
      </w:r>
      <w:r>
        <w:rPr>
          <w:rFonts w:hint="eastAsia" w:ascii="仿宋_GB2312" w:hAnsi="仿宋_GB2312" w:eastAsia="仿宋_GB2312" w:cs="仿宋_GB2312"/>
          <w:color w:val="auto"/>
          <w:spacing w:val="0"/>
          <w:sz w:val="32"/>
          <w:szCs w:val="32"/>
          <w:highlight w:val="none"/>
          <w:u w:val="none"/>
          <w:lang w:val="en-US" w:eastAsia="zh-CN"/>
        </w:rPr>
        <w:t>的方式，</w:t>
      </w:r>
      <w:r>
        <w:rPr>
          <w:rFonts w:hint="eastAsia" w:ascii="仿宋_GB2312" w:hAnsi="仿宋_GB2312" w:eastAsia="仿宋_GB2312" w:cs="仿宋_GB2312"/>
          <w:color w:val="auto"/>
          <w:spacing w:val="0"/>
          <w:sz w:val="32"/>
          <w:szCs w:val="32"/>
          <w:highlight w:val="none"/>
          <w:u w:val="none"/>
          <w:lang w:eastAsia="zh-CN"/>
        </w:rPr>
        <w:t>第一年支付50%，第二年支付50%。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八</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企业主要负责人</w:t>
      </w:r>
      <w:r>
        <w:rPr>
          <w:rFonts w:hint="eastAsia" w:ascii="仿宋_GB2312" w:hAnsi="仿宋_GB2312" w:eastAsia="仿宋_GB2312" w:cs="仿宋_GB2312"/>
          <w:color w:val="auto"/>
          <w:spacing w:val="0"/>
          <w:sz w:val="32"/>
          <w:szCs w:val="32"/>
          <w:highlight w:val="none"/>
          <w:u w:val="none"/>
          <w:lang w:val="en-US" w:eastAsia="zh-CN"/>
        </w:rPr>
        <w:t>薪酬</w:t>
      </w:r>
      <w:r>
        <w:rPr>
          <w:rFonts w:hint="eastAsia" w:ascii="仿宋_GB2312" w:hAnsi="仿宋_GB2312" w:eastAsia="仿宋_GB2312" w:cs="仿宋_GB2312"/>
          <w:color w:val="auto"/>
          <w:spacing w:val="0"/>
          <w:sz w:val="32"/>
          <w:szCs w:val="32"/>
          <w:highlight w:val="none"/>
          <w:u w:val="none"/>
          <w:lang w:eastAsia="zh-CN"/>
        </w:rPr>
        <w:t>分配系数为1，其他负责人的</w:t>
      </w:r>
      <w:r>
        <w:rPr>
          <w:rFonts w:hint="eastAsia" w:ascii="仿宋_GB2312" w:hAnsi="仿宋_GB2312" w:eastAsia="仿宋_GB2312" w:cs="仿宋_GB2312"/>
          <w:color w:val="auto"/>
          <w:spacing w:val="0"/>
          <w:sz w:val="32"/>
          <w:szCs w:val="32"/>
          <w:highlight w:val="none"/>
          <w:u w:val="none"/>
          <w:lang w:val="en-US" w:eastAsia="zh-CN"/>
        </w:rPr>
        <w:t>薪酬</w:t>
      </w:r>
      <w:r>
        <w:rPr>
          <w:rFonts w:hint="eastAsia" w:ascii="仿宋_GB2312" w:hAnsi="仿宋_GB2312" w:eastAsia="仿宋_GB2312" w:cs="仿宋_GB2312"/>
          <w:color w:val="auto"/>
          <w:spacing w:val="0"/>
          <w:sz w:val="32"/>
          <w:szCs w:val="32"/>
          <w:highlight w:val="none"/>
          <w:u w:val="none"/>
          <w:lang w:eastAsia="zh-CN"/>
        </w:rPr>
        <w:t>由企业根据其任职岗位、承担的风险责任和履职绩效等因素</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lang w:val="en-US" w:eastAsia="zh-CN"/>
        </w:rPr>
        <w:t>依据考核结果，突出</w:t>
      </w:r>
      <w:r>
        <w:rPr>
          <w:rFonts w:hint="eastAsia" w:ascii="仿宋_GB2312" w:hAnsi="仿宋_GB2312" w:eastAsia="仿宋_GB2312" w:cs="仿宋_GB2312"/>
          <w:color w:val="auto"/>
          <w:spacing w:val="-6"/>
          <w:sz w:val="32"/>
          <w:szCs w:val="32"/>
          <w:highlight w:val="none"/>
          <w:u w:val="none"/>
          <w:lang w:eastAsia="zh-CN"/>
        </w:rPr>
        <w:t>“一岗一薪”</w:t>
      </w:r>
      <w:r>
        <w:rPr>
          <w:rFonts w:hint="eastAsia" w:ascii="仿宋_GB2312" w:hAnsi="仿宋_GB2312" w:eastAsia="仿宋_GB2312" w:cs="仿宋_GB2312"/>
          <w:color w:val="auto"/>
          <w:spacing w:val="-6"/>
          <w:sz w:val="32"/>
          <w:szCs w:val="32"/>
          <w:highlight w:val="none"/>
          <w:u w:val="none"/>
          <w:lang w:val="en-US" w:eastAsia="zh-CN"/>
        </w:rPr>
        <w:t>差异化确定薪酬水平，</w:t>
      </w:r>
      <w:r>
        <w:rPr>
          <w:rFonts w:hint="eastAsia" w:ascii="仿宋_GB2312" w:hAnsi="仿宋_GB2312" w:eastAsia="仿宋_GB2312" w:cs="仿宋_GB2312"/>
          <w:color w:val="auto"/>
          <w:spacing w:val="-6"/>
          <w:sz w:val="32"/>
          <w:szCs w:val="32"/>
          <w:highlight w:val="none"/>
          <w:u w:val="none"/>
          <w:lang w:eastAsia="zh-CN"/>
        </w:rPr>
        <w:t>按主要负责人</w:t>
      </w:r>
      <w:r>
        <w:rPr>
          <w:rFonts w:hint="eastAsia" w:ascii="仿宋_GB2312" w:hAnsi="仿宋_GB2312" w:eastAsia="仿宋_GB2312" w:cs="仿宋_GB2312"/>
          <w:color w:val="auto"/>
          <w:spacing w:val="-6"/>
          <w:sz w:val="32"/>
          <w:szCs w:val="32"/>
          <w:highlight w:val="none"/>
          <w:u w:val="none"/>
          <w:lang w:val="en-US" w:eastAsia="zh-CN"/>
        </w:rPr>
        <w:t>薪酬</w:t>
      </w:r>
      <w:r>
        <w:rPr>
          <w:rFonts w:hint="eastAsia" w:ascii="仿宋_GB2312" w:hAnsi="仿宋_GB2312" w:eastAsia="仿宋_GB2312" w:cs="仿宋_GB2312"/>
          <w:color w:val="auto"/>
          <w:spacing w:val="-6"/>
          <w:sz w:val="32"/>
          <w:szCs w:val="32"/>
          <w:highlight w:val="none"/>
          <w:u w:val="none"/>
          <w:lang w:eastAsia="zh-CN"/>
        </w:rPr>
        <w:t>的0.6至0.9倍确定，平均不超过0.8，合理拉开差距。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九</w:t>
      </w:r>
      <w:r>
        <w:rPr>
          <w:rStyle w:val="12"/>
          <w:rFonts w:hint="eastAsia" w:ascii="楷体" w:hAnsi="楷体" w:eastAsia="楷体" w:cs="楷体"/>
          <w:b w:val="0"/>
          <w:sz w:val="32"/>
          <w:szCs w:val="32"/>
          <w:lang w:eastAsia="zh-CN"/>
        </w:rPr>
        <w:t>条</w:t>
      </w:r>
      <w:r>
        <w:rPr>
          <w:rFonts w:hint="eastAsia" w:ascii="仿宋_GB2312" w:hAnsi="仿宋_GB2312" w:eastAsia="仿宋_GB2312" w:cs="仿宋_GB2312"/>
          <w:b/>
          <w:bCs/>
          <w:color w:val="auto"/>
          <w:spacing w:val="0"/>
          <w:sz w:val="32"/>
          <w:szCs w:val="32"/>
          <w:highlight w:val="none"/>
          <w:u w:val="none"/>
          <w:lang w:val="en-US"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新成立企业，</w:t>
      </w:r>
      <w:r>
        <w:rPr>
          <w:rFonts w:hint="eastAsia" w:ascii="仿宋_GB2312" w:hAnsi="仿宋_GB2312" w:eastAsia="仿宋_GB2312" w:cs="仿宋_GB2312"/>
          <w:color w:val="auto"/>
          <w:spacing w:val="0"/>
          <w:sz w:val="32"/>
          <w:szCs w:val="32"/>
          <w:highlight w:val="none"/>
          <w:u w:val="none"/>
          <w:lang w:val="en-US" w:eastAsia="zh-CN"/>
        </w:rPr>
        <w:t>成立当年</w:t>
      </w:r>
      <w:r>
        <w:rPr>
          <w:rFonts w:hint="eastAsia" w:ascii="仿宋_GB2312" w:hAnsi="仿宋_GB2312" w:eastAsia="仿宋_GB2312" w:cs="仿宋_GB2312"/>
          <w:color w:val="auto"/>
          <w:spacing w:val="0"/>
          <w:sz w:val="32"/>
          <w:szCs w:val="32"/>
          <w:highlight w:val="none"/>
          <w:u w:val="none"/>
          <w:lang w:eastAsia="zh-CN"/>
        </w:rPr>
        <w:t>主要负责人的</w:t>
      </w:r>
      <w:r>
        <w:rPr>
          <w:rFonts w:hint="eastAsia" w:ascii="仿宋_GB2312" w:hAnsi="仿宋_GB2312" w:eastAsia="仿宋_GB2312" w:cs="仿宋_GB2312"/>
          <w:color w:val="auto"/>
          <w:spacing w:val="0"/>
          <w:sz w:val="32"/>
          <w:szCs w:val="32"/>
          <w:highlight w:val="none"/>
          <w:u w:val="none"/>
          <w:lang w:val="en-US" w:eastAsia="zh-CN"/>
        </w:rPr>
        <w:t>基本薪酬</w:t>
      </w:r>
      <w:r>
        <w:rPr>
          <w:rFonts w:hint="eastAsia" w:ascii="仿宋_GB2312" w:hAnsi="仿宋_GB2312" w:eastAsia="仿宋_GB2312" w:cs="仿宋_GB2312"/>
          <w:color w:val="auto"/>
          <w:spacing w:val="0"/>
          <w:sz w:val="32"/>
          <w:szCs w:val="32"/>
          <w:highlight w:val="none"/>
          <w:u w:val="none"/>
          <w:lang w:eastAsia="zh-CN"/>
        </w:rPr>
        <w:t>参照同类别、同规模企业主要负责人的</w:t>
      </w:r>
      <w:r>
        <w:rPr>
          <w:rFonts w:hint="eastAsia" w:ascii="仿宋_GB2312" w:hAnsi="仿宋_GB2312" w:eastAsia="仿宋_GB2312" w:cs="仿宋_GB2312"/>
          <w:color w:val="auto"/>
          <w:spacing w:val="0"/>
          <w:sz w:val="32"/>
          <w:szCs w:val="32"/>
          <w:highlight w:val="none"/>
          <w:u w:val="none"/>
          <w:lang w:val="en-US" w:eastAsia="zh-CN"/>
        </w:rPr>
        <w:t>基本薪酬</w:t>
      </w:r>
      <w:r>
        <w:rPr>
          <w:rFonts w:hint="eastAsia" w:ascii="仿宋_GB2312" w:hAnsi="仿宋_GB2312" w:eastAsia="仿宋_GB2312" w:cs="仿宋_GB2312"/>
          <w:color w:val="auto"/>
          <w:spacing w:val="0"/>
          <w:sz w:val="32"/>
          <w:szCs w:val="32"/>
          <w:highlight w:val="none"/>
          <w:u w:val="none"/>
          <w:lang w:eastAsia="zh-CN"/>
        </w:rPr>
        <w:t>平均水平核定。</w:t>
      </w:r>
      <w:r>
        <w:rPr>
          <w:rFonts w:hint="eastAsia" w:ascii="仿宋_GB2312" w:hAnsi="仿宋_GB2312" w:eastAsia="仿宋_GB2312" w:cs="仿宋_GB2312"/>
          <w:color w:val="auto"/>
          <w:spacing w:val="0"/>
          <w:sz w:val="32"/>
          <w:szCs w:val="32"/>
          <w:highlight w:val="none"/>
          <w:u w:val="none"/>
          <w:lang w:val="en-US" w:eastAsia="zh-CN"/>
        </w:rPr>
        <w:t>成立不满半年的不予兑现绩效薪酬；成立半年以上且实现盈利的企业，</w:t>
      </w:r>
      <w:r>
        <w:rPr>
          <w:rFonts w:hint="eastAsia" w:ascii="仿宋_GB2312" w:hAnsi="仿宋_GB2312" w:eastAsia="仿宋_GB2312" w:cs="仿宋_GB2312"/>
          <w:color w:val="auto"/>
          <w:spacing w:val="0"/>
          <w:sz w:val="32"/>
          <w:szCs w:val="32"/>
          <w:highlight w:val="none"/>
          <w:u w:val="none"/>
          <w:lang w:eastAsia="zh-CN"/>
        </w:rPr>
        <w:t>比照同类别、同规模企业</w:t>
      </w:r>
      <w:r>
        <w:rPr>
          <w:rFonts w:hint="eastAsia" w:ascii="仿宋_GB2312" w:hAnsi="仿宋_GB2312" w:eastAsia="仿宋_GB2312" w:cs="仿宋_GB2312"/>
          <w:color w:val="auto"/>
          <w:spacing w:val="0"/>
          <w:sz w:val="32"/>
          <w:szCs w:val="32"/>
          <w:highlight w:val="none"/>
          <w:u w:val="none"/>
          <w:lang w:val="en-US" w:eastAsia="zh-CN"/>
        </w:rPr>
        <w:t>基本指标完成的平均值，按完成比例核定绩效薪酬</w:t>
      </w:r>
      <w:r>
        <w:rPr>
          <w:rFonts w:hint="eastAsia" w:ascii="仿宋_GB2312" w:hAnsi="仿宋_GB2312" w:eastAsia="仿宋_GB2312" w:cs="仿宋_GB2312"/>
          <w:strike w:val="0"/>
          <w:dstrike w:val="0"/>
          <w:color w:val="auto"/>
          <w:spacing w:val="0"/>
          <w:sz w:val="32"/>
          <w:szCs w:val="32"/>
          <w:highlight w:val="none"/>
          <w:u w:val="none"/>
          <w:lang w:val="en-US" w:eastAsia="zh-CN"/>
        </w:rPr>
        <w:t>且不超过当年利润总额的50%</w:t>
      </w:r>
      <w:r>
        <w:rPr>
          <w:rFonts w:hint="eastAsia" w:ascii="仿宋_GB2312" w:hAnsi="仿宋_GB2312" w:eastAsia="仿宋_GB2312" w:cs="仿宋_GB2312"/>
          <w:color w:val="auto"/>
          <w:spacing w:val="0"/>
          <w:sz w:val="32"/>
          <w:szCs w:val="32"/>
          <w:highlight w:val="none"/>
          <w:u w:val="none"/>
          <w:lang w:val="en-US" w:eastAsia="zh-CN"/>
        </w:rPr>
        <w:t>。</w:t>
      </w:r>
      <w:r>
        <w:rPr>
          <w:rFonts w:hint="eastAsia" w:ascii="仿宋_GB2312" w:hAnsi="仿宋_GB2312" w:eastAsia="仿宋_GB2312" w:cs="仿宋_GB2312"/>
          <w:color w:val="auto"/>
          <w:spacing w:val="0"/>
          <w:sz w:val="32"/>
          <w:szCs w:val="32"/>
          <w:highlight w:val="none"/>
          <w:u w:val="none"/>
          <w:lang w:eastAsia="zh-CN"/>
        </w:rPr>
        <w:t>次年纳入经营业绩考核。</w:t>
      </w:r>
    </w:p>
    <w:p>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0"/>
          <w:sz w:val="36"/>
          <w:szCs w:val="36"/>
          <w:highlight w:val="none"/>
          <w:u w:val="none"/>
          <w:lang w:val="en-US" w:eastAsia="zh-CN"/>
        </w:rPr>
      </w:pPr>
      <w:r>
        <w:rPr>
          <w:rFonts w:hint="default" w:ascii="Times New Roman" w:hAnsi="Times New Roman" w:eastAsia="黑体" w:cs="Times New Roman"/>
          <w:color w:val="auto"/>
          <w:spacing w:val="0"/>
          <w:sz w:val="36"/>
          <w:szCs w:val="36"/>
          <w:highlight w:val="none"/>
          <w:u w:val="none"/>
          <w:lang w:eastAsia="zh-CN"/>
        </w:rPr>
        <w:t>第</w:t>
      </w:r>
      <w:r>
        <w:rPr>
          <w:rFonts w:hint="default" w:ascii="Times New Roman" w:hAnsi="Times New Roman" w:eastAsia="黑体" w:cs="Times New Roman"/>
          <w:color w:val="auto"/>
          <w:spacing w:val="0"/>
          <w:sz w:val="36"/>
          <w:szCs w:val="36"/>
          <w:highlight w:val="none"/>
          <w:u w:val="none"/>
          <w:lang w:val="en-US" w:eastAsia="zh-CN"/>
        </w:rPr>
        <w:t>三</w:t>
      </w:r>
      <w:r>
        <w:rPr>
          <w:rFonts w:hint="default" w:ascii="Times New Roman" w:hAnsi="Times New Roman" w:eastAsia="黑体" w:cs="Times New Roman"/>
          <w:color w:val="auto"/>
          <w:spacing w:val="0"/>
          <w:sz w:val="36"/>
          <w:szCs w:val="36"/>
          <w:highlight w:val="none"/>
          <w:u w:val="none"/>
          <w:lang w:eastAsia="zh-CN"/>
        </w:rPr>
        <w:t xml:space="preserve">章  </w:t>
      </w:r>
      <w:r>
        <w:rPr>
          <w:rFonts w:hint="default" w:ascii="Times New Roman" w:hAnsi="Times New Roman" w:eastAsia="黑体" w:cs="Times New Roman"/>
          <w:color w:val="auto"/>
          <w:spacing w:val="0"/>
          <w:sz w:val="36"/>
          <w:szCs w:val="36"/>
          <w:highlight w:val="none"/>
          <w:u w:val="none"/>
          <w:lang w:val="en-US" w:eastAsia="zh-CN"/>
        </w:rPr>
        <w:t>规范薪酬福利管理</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十</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企业负责人按照有关规定参加社会保险以及缴存住房公积金</w:t>
      </w:r>
      <w:r>
        <w:rPr>
          <w:rFonts w:hint="eastAsia" w:ascii="仿宋_GB2312" w:hAnsi="仿宋_GB2312" w:eastAsia="仿宋_GB2312" w:cs="仿宋_GB2312"/>
          <w:color w:val="auto"/>
          <w:spacing w:val="-6"/>
          <w:sz w:val="32"/>
          <w:szCs w:val="32"/>
          <w:highlight w:val="none"/>
          <w:u w:val="none"/>
          <w:lang w:eastAsia="zh-CN"/>
        </w:rPr>
        <w:t>，缴费比例不得超过自治区规定的标准。</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十一</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企业负责人按照国家、自治区</w:t>
      </w:r>
      <w:r>
        <w:rPr>
          <w:rFonts w:hint="eastAsia" w:ascii="仿宋_GB2312" w:hAnsi="仿宋_GB2312" w:eastAsia="仿宋_GB2312" w:cs="仿宋_GB2312"/>
          <w:color w:val="auto"/>
          <w:spacing w:val="0"/>
          <w:sz w:val="32"/>
          <w:szCs w:val="32"/>
          <w:highlight w:val="none"/>
          <w:u w:val="none"/>
          <w:lang w:val="en-US" w:eastAsia="zh-CN"/>
        </w:rPr>
        <w:t>和自治州</w:t>
      </w:r>
      <w:r>
        <w:rPr>
          <w:rFonts w:hint="eastAsia" w:ascii="仿宋_GB2312" w:hAnsi="仿宋_GB2312" w:eastAsia="仿宋_GB2312" w:cs="仿宋_GB2312"/>
          <w:color w:val="auto"/>
          <w:spacing w:val="0"/>
          <w:sz w:val="32"/>
          <w:szCs w:val="32"/>
          <w:highlight w:val="none"/>
          <w:u w:val="none"/>
          <w:lang w:eastAsia="zh-CN"/>
        </w:rPr>
        <w:t>有关规定建立企业年金和补充医疗保险的，企业当期缴费计入企业负责人年金个人账户的最高额和补充医疗保险缴费比例不得超过国家、自治区</w:t>
      </w:r>
      <w:r>
        <w:rPr>
          <w:rFonts w:hint="eastAsia" w:ascii="仿宋_GB2312" w:hAnsi="仿宋_GB2312" w:eastAsia="仿宋_GB2312" w:cs="仿宋_GB2312"/>
          <w:color w:val="auto"/>
          <w:spacing w:val="0"/>
          <w:sz w:val="32"/>
          <w:szCs w:val="32"/>
          <w:highlight w:val="none"/>
          <w:u w:val="none"/>
          <w:lang w:val="en-US" w:eastAsia="zh-CN"/>
        </w:rPr>
        <w:t>和自治州</w:t>
      </w:r>
      <w:r>
        <w:rPr>
          <w:rFonts w:hint="eastAsia" w:ascii="仿宋_GB2312" w:hAnsi="仿宋_GB2312" w:eastAsia="仿宋_GB2312" w:cs="仿宋_GB2312"/>
          <w:color w:val="auto"/>
          <w:spacing w:val="0"/>
          <w:sz w:val="32"/>
          <w:szCs w:val="32"/>
          <w:highlight w:val="none"/>
          <w:u w:val="none"/>
          <w:lang w:eastAsia="zh-CN"/>
        </w:rPr>
        <w:t>有关规定。</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十二</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企业负责人享受的社会保险、住房公积金、企业年金和补充医疗保险等福利性待遇情况，一并纳入薪酬体系统筹管</w:t>
      </w:r>
      <w:r>
        <w:rPr>
          <w:rFonts w:hint="eastAsia" w:ascii="仿宋_GB2312" w:hAnsi="仿宋_GB2312" w:eastAsia="仿宋_GB2312" w:cs="仿宋_GB2312"/>
          <w:b w:val="0"/>
          <w:bCs w:val="0"/>
          <w:i w:val="0"/>
          <w:iCs w:val="0"/>
          <w:strike w:val="0"/>
          <w:dstrike w:val="0"/>
          <w:color w:val="auto"/>
          <w:spacing w:val="0"/>
          <w:sz w:val="32"/>
          <w:szCs w:val="32"/>
          <w:highlight w:val="none"/>
          <w:u w:val="none"/>
          <w:lang w:eastAsia="zh-CN"/>
        </w:rPr>
        <w:t>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0"/>
          <w:sz w:val="36"/>
          <w:szCs w:val="36"/>
          <w:highlight w:val="none"/>
          <w:u w:val="none"/>
          <w:lang w:val="en-US" w:eastAsia="zh-CN"/>
        </w:rPr>
      </w:pPr>
      <w:r>
        <w:rPr>
          <w:rFonts w:hint="default" w:ascii="Times New Roman" w:hAnsi="Times New Roman" w:eastAsia="黑体" w:cs="Times New Roman"/>
          <w:color w:val="auto"/>
          <w:spacing w:val="0"/>
          <w:sz w:val="36"/>
          <w:szCs w:val="36"/>
          <w:highlight w:val="none"/>
          <w:u w:val="none"/>
          <w:lang w:eastAsia="zh-CN"/>
        </w:rPr>
        <w:t>第</w:t>
      </w:r>
      <w:r>
        <w:rPr>
          <w:rFonts w:hint="default" w:ascii="Times New Roman" w:hAnsi="Times New Roman" w:eastAsia="黑体" w:cs="Times New Roman"/>
          <w:color w:val="auto"/>
          <w:spacing w:val="0"/>
          <w:sz w:val="36"/>
          <w:szCs w:val="36"/>
          <w:highlight w:val="none"/>
          <w:u w:val="none"/>
          <w:lang w:val="en-US" w:eastAsia="zh-CN"/>
        </w:rPr>
        <w:t>四</w:t>
      </w:r>
      <w:r>
        <w:rPr>
          <w:rFonts w:hint="default" w:ascii="Times New Roman" w:hAnsi="Times New Roman" w:eastAsia="黑体" w:cs="Times New Roman"/>
          <w:color w:val="auto"/>
          <w:spacing w:val="0"/>
          <w:sz w:val="36"/>
          <w:szCs w:val="36"/>
          <w:highlight w:val="none"/>
          <w:u w:val="none"/>
          <w:lang w:eastAsia="zh-CN"/>
        </w:rPr>
        <w:t>章  薪酬</w:t>
      </w:r>
      <w:r>
        <w:rPr>
          <w:rFonts w:hint="default" w:ascii="Times New Roman" w:hAnsi="Times New Roman" w:eastAsia="黑体" w:cs="Times New Roman"/>
          <w:color w:val="auto"/>
          <w:spacing w:val="0"/>
          <w:sz w:val="36"/>
          <w:szCs w:val="36"/>
          <w:highlight w:val="none"/>
          <w:u w:val="none"/>
          <w:lang w:val="en-US" w:eastAsia="zh-CN"/>
        </w:rPr>
        <w:t>管理</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十三</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企业负责人薪酬符合国家、自治区和</w:t>
      </w:r>
      <w:r>
        <w:rPr>
          <w:rFonts w:hint="eastAsia" w:ascii="仿宋_GB2312" w:hAnsi="仿宋_GB2312" w:eastAsia="仿宋_GB2312" w:cs="仿宋_GB2312"/>
          <w:color w:val="auto"/>
          <w:spacing w:val="0"/>
          <w:sz w:val="32"/>
          <w:szCs w:val="32"/>
          <w:highlight w:val="none"/>
          <w:u w:val="none"/>
          <w:lang w:val="en-US" w:eastAsia="zh-CN"/>
        </w:rPr>
        <w:t>自治州</w:t>
      </w:r>
      <w:r>
        <w:rPr>
          <w:rFonts w:hint="eastAsia" w:ascii="仿宋_GB2312" w:hAnsi="仿宋_GB2312" w:eastAsia="仿宋_GB2312" w:cs="仿宋_GB2312"/>
          <w:color w:val="auto"/>
          <w:spacing w:val="0"/>
          <w:sz w:val="32"/>
          <w:szCs w:val="32"/>
          <w:highlight w:val="none"/>
          <w:u w:val="none"/>
          <w:lang w:eastAsia="zh-CN"/>
        </w:rPr>
        <w:t>规定的货币性收入，由企业在财务统计中单列科目，单独核算并设置明细账目。企业负责人薪酬应计入企业工资总额，在企业成本中列支，在工资统计中单独列示。</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十四</w:t>
      </w:r>
      <w:r>
        <w:rPr>
          <w:rStyle w:val="12"/>
          <w:rFonts w:hint="eastAsia" w:ascii="楷体" w:hAnsi="楷体" w:eastAsia="楷体" w:cs="楷体"/>
          <w:b w:val="0"/>
          <w:sz w:val="32"/>
          <w:szCs w:val="32"/>
          <w:lang w:eastAsia="zh-CN"/>
        </w:rPr>
        <w:t>条</w:t>
      </w:r>
      <w:r>
        <w:rPr>
          <w:rFonts w:hint="eastAsia" w:ascii="仿宋_GB2312" w:hAnsi="仿宋_GB2312" w:eastAsia="仿宋_GB2312" w:cs="仿宋_GB2312"/>
          <w:color w:val="auto"/>
          <w:spacing w:val="0"/>
          <w:sz w:val="32"/>
          <w:szCs w:val="32"/>
          <w:highlight w:val="none"/>
          <w:u w:val="none"/>
          <w:lang w:eastAsia="zh-CN"/>
        </w:rPr>
        <w:t xml:space="preserve">  企业负责人的薪酬为税前收入，应依法缴纳个人所得税。</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第十</w:t>
      </w:r>
      <w:r>
        <w:rPr>
          <w:rStyle w:val="12"/>
          <w:rFonts w:hint="eastAsia" w:ascii="楷体" w:hAnsi="楷体" w:eastAsia="楷体" w:cs="楷体"/>
          <w:b w:val="0"/>
          <w:sz w:val="32"/>
          <w:szCs w:val="32"/>
          <w:lang w:val="en-US" w:eastAsia="zh-CN"/>
        </w:rPr>
        <w:t>五</w:t>
      </w:r>
      <w:r>
        <w:rPr>
          <w:rStyle w:val="12"/>
          <w:rFonts w:hint="eastAsia" w:ascii="楷体" w:hAnsi="楷体" w:eastAsia="楷体" w:cs="楷体"/>
          <w:b w:val="0"/>
          <w:sz w:val="32"/>
          <w:szCs w:val="32"/>
          <w:lang w:eastAsia="zh-CN"/>
        </w:rPr>
        <w:t>条</w:t>
      </w:r>
      <w:r>
        <w:rPr>
          <w:rFonts w:hint="eastAsia" w:ascii="仿宋_GB2312" w:hAnsi="仿宋_GB2312" w:eastAsia="仿宋_GB2312" w:cs="仿宋_GB2312"/>
          <w:color w:val="auto"/>
          <w:spacing w:val="0"/>
          <w:sz w:val="32"/>
          <w:szCs w:val="32"/>
          <w:highlight w:val="none"/>
          <w:u w:val="none"/>
          <w:lang w:eastAsia="zh-CN"/>
        </w:rPr>
        <w:t xml:space="preserve">  企业负责人离任后，其薪酬方案和考核兑现个人收入的原始资料应至少保存15年。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第十</w:t>
      </w:r>
      <w:r>
        <w:rPr>
          <w:rStyle w:val="12"/>
          <w:rFonts w:hint="eastAsia" w:ascii="楷体" w:hAnsi="楷体" w:eastAsia="楷体" w:cs="楷体"/>
          <w:b w:val="0"/>
          <w:sz w:val="32"/>
          <w:szCs w:val="32"/>
          <w:lang w:val="en-US" w:eastAsia="zh-CN"/>
        </w:rPr>
        <w:t>六</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当年本企业在岗职工平均工资未增长的，企业负责人绩效薪酬不得增长。年度考核</w:t>
      </w:r>
      <w:r>
        <w:rPr>
          <w:rFonts w:hint="eastAsia" w:ascii="仿宋_GB2312" w:hAnsi="仿宋_GB2312" w:eastAsia="仿宋_GB2312" w:cs="仿宋_GB2312"/>
          <w:color w:val="auto"/>
          <w:spacing w:val="0"/>
          <w:sz w:val="32"/>
          <w:szCs w:val="32"/>
          <w:highlight w:val="none"/>
          <w:u w:val="none"/>
          <w:lang w:val="en-US" w:eastAsia="zh-CN"/>
        </w:rPr>
        <w:t>定等</w:t>
      </w:r>
      <w:r>
        <w:rPr>
          <w:rFonts w:hint="eastAsia" w:ascii="仿宋_GB2312" w:hAnsi="仿宋_GB2312" w:eastAsia="仿宋_GB2312" w:cs="仿宋_GB2312"/>
          <w:color w:val="auto"/>
          <w:spacing w:val="0"/>
          <w:sz w:val="32"/>
          <w:szCs w:val="32"/>
          <w:highlight w:val="none"/>
          <w:u w:val="none"/>
          <w:lang w:eastAsia="zh-CN"/>
        </w:rPr>
        <w:t>为基本</w:t>
      </w:r>
      <w:r>
        <w:rPr>
          <w:rFonts w:hint="eastAsia" w:ascii="仿宋_GB2312" w:hAnsi="仿宋_GB2312" w:eastAsia="仿宋_GB2312" w:cs="仿宋_GB2312"/>
          <w:color w:val="auto"/>
          <w:spacing w:val="0"/>
          <w:sz w:val="32"/>
          <w:szCs w:val="32"/>
          <w:highlight w:val="none"/>
          <w:u w:val="none"/>
          <w:lang w:val="en-US" w:eastAsia="zh-CN"/>
        </w:rPr>
        <w:t>称职</w:t>
      </w:r>
      <w:r>
        <w:rPr>
          <w:rFonts w:hint="eastAsia" w:ascii="仿宋_GB2312" w:hAnsi="仿宋_GB2312" w:eastAsia="仿宋_GB2312" w:cs="仿宋_GB2312"/>
          <w:color w:val="auto"/>
          <w:spacing w:val="0"/>
          <w:sz w:val="32"/>
          <w:szCs w:val="32"/>
          <w:highlight w:val="none"/>
          <w:u w:val="none"/>
          <w:lang w:eastAsia="zh-CN"/>
        </w:rPr>
        <w:t>的，发放当年应领取绩效薪酬的50%；年度考核</w:t>
      </w:r>
      <w:r>
        <w:rPr>
          <w:rFonts w:hint="eastAsia" w:ascii="仿宋_GB2312" w:hAnsi="仿宋_GB2312" w:eastAsia="仿宋_GB2312" w:cs="仿宋_GB2312"/>
          <w:color w:val="auto"/>
          <w:spacing w:val="0"/>
          <w:sz w:val="32"/>
          <w:szCs w:val="32"/>
          <w:highlight w:val="none"/>
          <w:u w:val="none"/>
          <w:lang w:val="en-US" w:eastAsia="zh-CN"/>
        </w:rPr>
        <w:t>定等</w:t>
      </w:r>
      <w:r>
        <w:rPr>
          <w:rFonts w:hint="eastAsia" w:ascii="仿宋_GB2312" w:hAnsi="仿宋_GB2312" w:eastAsia="仿宋_GB2312" w:cs="仿宋_GB2312"/>
          <w:color w:val="auto"/>
          <w:spacing w:val="0"/>
          <w:sz w:val="32"/>
          <w:szCs w:val="32"/>
          <w:highlight w:val="none"/>
          <w:u w:val="none"/>
          <w:lang w:eastAsia="zh-CN"/>
        </w:rPr>
        <w:t>为不称职</w:t>
      </w:r>
      <w:r>
        <w:rPr>
          <w:rFonts w:hint="eastAsia" w:ascii="仿宋_GB2312" w:hAnsi="仿宋_GB2312" w:eastAsia="仿宋_GB2312" w:cs="仿宋_GB2312"/>
          <w:color w:val="auto"/>
          <w:spacing w:val="0"/>
          <w:sz w:val="32"/>
          <w:szCs w:val="32"/>
          <w:highlight w:val="none"/>
          <w:u w:val="none"/>
          <w:lang w:val="en-US" w:eastAsia="zh-CN"/>
        </w:rPr>
        <w:t>的</w:t>
      </w:r>
      <w:r>
        <w:rPr>
          <w:rFonts w:hint="eastAsia" w:ascii="仿宋_GB2312" w:hAnsi="仿宋_GB2312" w:eastAsia="仿宋_GB2312" w:cs="仿宋_GB2312"/>
          <w:color w:val="auto"/>
          <w:spacing w:val="0"/>
          <w:sz w:val="32"/>
          <w:szCs w:val="32"/>
          <w:highlight w:val="none"/>
          <w:u w:val="none"/>
          <w:lang w:eastAsia="zh-CN"/>
        </w:rPr>
        <w:t>企业负责人</w:t>
      </w:r>
      <w:r>
        <w:rPr>
          <w:rFonts w:hint="eastAsia" w:ascii="仿宋_GB2312" w:hAnsi="仿宋_GB2312" w:eastAsia="仿宋_GB2312" w:cs="仿宋_GB2312"/>
          <w:color w:val="auto"/>
          <w:spacing w:val="0"/>
          <w:sz w:val="32"/>
          <w:szCs w:val="32"/>
          <w:highlight w:val="none"/>
          <w:u w:val="none"/>
          <w:lang w:val="en-US" w:eastAsia="zh-CN"/>
        </w:rPr>
        <w:t>，</w:t>
      </w:r>
      <w:r>
        <w:rPr>
          <w:rFonts w:hint="eastAsia" w:ascii="仿宋_GB2312" w:hAnsi="仿宋_GB2312" w:eastAsia="仿宋_GB2312" w:cs="仿宋_GB2312"/>
          <w:color w:val="auto"/>
          <w:spacing w:val="0"/>
          <w:sz w:val="32"/>
          <w:szCs w:val="32"/>
          <w:highlight w:val="none"/>
          <w:u w:val="none"/>
          <w:lang w:eastAsia="zh-CN"/>
        </w:rPr>
        <w:t>不得领取绩效薪酬。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第十</w:t>
      </w:r>
      <w:r>
        <w:rPr>
          <w:rStyle w:val="12"/>
          <w:rFonts w:hint="eastAsia" w:ascii="楷体" w:hAnsi="楷体" w:eastAsia="楷体" w:cs="楷体"/>
          <w:b w:val="0"/>
          <w:sz w:val="32"/>
          <w:szCs w:val="32"/>
          <w:lang w:val="en-US" w:eastAsia="zh-CN"/>
        </w:rPr>
        <w:t>七</w:t>
      </w:r>
      <w:r>
        <w:rPr>
          <w:rStyle w:val="12"/>
          <w:rFonts w:hint="eastAsia" w:ascii="楷体" w:hAnsi="楷体" w:eastAsia="楷体" w:cs="楷体"/>
          <w:b w:val="0"/>
          <w:sz w:val="32"/>
          <w:szCs w:val="32"/>
          <w:lang w:eastAsia="zh-CN"/>
        </w:rPr>
        <w:t>条</w:t>
      </w:r>
      <w:r>
        <w:rPr>
          <w:rFonts w:hint="eastAsia" w:ascii="楷体" w:hAnsi="楷体" w:eastAsia="楷体" w:cs="楷体"/>
          <w:b/>
          <w:bCs/>
          <w:color w:val="auto"/>
          <w:spacing w:val="0"/>
          <w:sz w:val="32"/>
          <w:szCs w:val="32"/>
          <w:highlight w:val="none"/>
          <w:u w:val="none"/>
          <w:lang w:val="en-US" w:eastAsia="zh-CN"/>
        </w:rPr>
        <w:t xml:space="preserve">  </w:t>
      </w:r>
      <w:r>
        <w:rPr>
          <w:rFonts w:hint="eastAsia" w:ascii="仿宋_GB2312" w:hAnsi="仿宋_GB2312" w:eastAsia="仿宋_GB2312" w:cs="仿宋_GB2312"/>
          <w:color w:val="auto"/>
          <w:spacing w:val="0"/>
          <w:sz w:val="32"/>
          <w:szCs w:val="32"/>
          <w:highlight w:val="none"/>
          <w:u w:val="none"/>
          <w:lang w:eastAsia="zh-CN"/>
        </w:rPr>
        <w:t>会计师事务所对年度审计报告出具保留意见的企业，暂缓兑现企业负责人绩效薪酬，待保留意见明确定性后决定是否兑现；会计师事务所对年度审计报告出具否定意见或无法表示意见的企业，不兑现企业负责人绩效薪酬。</w:t>
      </w:r>
      <w:r>
        <w:rPr>
          <w:rFonts w:hint="eastAsia" w:ascii="仿宋_GB2312" w:hAnsi="仿宋_GB2312" w:eastAsia="仿宋_GB2312" w:cs="仿宋_GB2312"/>
          <w:color w:val="auto"/>
          <w:spacing w:val="0"/>
          <w:sz w:val="32"/>
          <w:szCs w:val="32"/>
          <w:highlight w:val="none"/>
          <w:u w:val="none"/>
          <w:lang w:val="en-US" w:eastAsia="zh-CN"/>
        </w:rPr>
        <w:t>若双方存在争议由市审计局进行审计确认。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b w:val="0"/>
          <w:sz w:val="32"/>
          <w:szCs w:val="32"/>
          <w:lang w:eastAsia="zh-CN"/>
        </w:rPr>
      </w:pPr>
      <w:r>
        <w:rPr>
          <w:rStyle w:val="12"/>
          <w:rFonts w:hint="eastAsia" w:ascii="楷体" w:hAnsi="楷体" w:eastAsia="楷体" w:cs="楷体"/>
          <w:b w:val="0"/>
          <w:sz w:val="32"/>
          <w:szCs w:val="32"/>
          <w:lang w:eastAsia="zh-CN"/>
        </w:rPr>
        <w:t>第十</w:t>
      </w:r>
      <w:r>
        <w:rPr>
          <w:rStyle w:val="12"/>
          <w:rFonts w:hint="eastAsia" w:ascii="楷体" w:hAnsi="楷体" w:eastAsia="楷体" w:cs="楷体"/>
          <w:b w:val="0"/>
          <w:sz w:val="32"/>
          <w:szCs w:val="32"/>
          <w:lang w:val="en-US" w:eastAsia="zh-CN"/>
        </w:rPr>
        <w:t>八</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企业负责人在下属全资、控股、参股企业兼职或在本企业外的其他单位兼职的</w:t>
      </w:r>
      <w:r>
        <w:rPr>
          <w:rFonts w:hint="eastAsia" w:ascii="仿宋_GB2312" w:hAnsi="仿宋_GB2312" w:eastAsia="仿宋_GB2312" w:cs="仿宋_GB2312"/>
          <w:color w:val="auto"/>
          <w:spacing w:val="-17"/>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eastAsia="zh-CN"/>
        </w:rPr>
        <w:t>不得在兼职企业</w:t>
      </w:r>
      <w:r>
        <w:rPr>
          <w:rFonts w:hint="eastAsia" w:ascii="仿宋_GB2312" w:hAnsi="仿宋_GB2312" w:eastAsia="仿宋_GB2312" w:cs="仿宋_GB2312"/>
          <w:color w:val="auto"/>
          <w:spacing w:val="-17"/>
          <w:sz w:val="32"/>
          <w:szCs w:val="32"/>
          <w:highlight w:val="none"/>
          <w:u w:val="none"/>
          <w:lang w:eastAsia="zh-CN"/>
        </w:rPr>
        <w:t>（单位）</w:t>
      </w:r>
      <w:r>
        <w:rPr>
          <w:rFonts w:hint="eastAsia" w:ascii="仿宋_GB2312" w:hAnsi="仿宋_GB2312" w:eastAsia="仿宋_GB2312" w:cs="仿宋_GB2312"/>
          <w:color w:val="auto"/>
          <w:spacing w:val="-6"/>
          <w:sz w:val="32"/>
          <w:szCs w:val="32"/>
          <w:highlight w:val="none"/>
          <w:u w:val="none"/>
          <w:lang w:eastAsia="zh-CN"/>
        </w:rPr>
        <w:t>领取工资、奖金、津贴等任何形式的报酬。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十九</w:t>
      </w:r>
      <w:r>
        <w:rPr>
          <w:rStyle w:val="12"/>
          <w:rFonts w:hint="eastAsia" w:ascii="楷体" w:hAnsi="楷体" w:eastAsia="楷体" w:cs="楷体"/>
          <w:b w:val="0"/>
          <w:sz w:val="32"/>
          <w:szCs w:val="32"/>
          <w:lang w:eastAsia="zh-CN"/>
        </w:rPr>
        <w:t>条</w:t>
      </w:r>
      <w:r>
        <w:rPr>
          <w:rFonts w:hint="eastAsia" w:ascii="仿宋_GB2312" w:hAnsi="仿宋_GB2312" w:eastAsia="仿宋_GB2312" w:cs="仿宋_GB2312"/>
          <w:color w:val="auto"/>
          <w:spacing w:val="0"/>
          <w:sz w:val="32"/>
          <w:szCs w:val="32"/>
          <w:highlight w:val="none"/>
          <w:u w:val="none"/>
          <w:lang w:eastAsia="zh-CN"/>
        </w:rPr>
        <w:t xml:space="preserve">  除国家、自治区、自治州、奎屯市另有规定外，企业负责人不得在国资局核定的薪酬标准和按规定进行履职待遇、业务支出货币化改革取得的收入之外，领取其他任何形式的货币性收入及实物奖励。</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eastAsia="zh-CN" w:bidi="ar-SA"/>
        </w:rPr>
      </w:pPr>
      <w:bookmarkStart w:id="3" w:name="OLE_LINK2"/>
      <w:r>
        <w:rPr>
          <w:rStyle w:val="12"/>
          <w:rFonts w:hint="eastAsia" w:ascii="楷体" w:hAnsi="楷体" w:eastAsia="楷体" w:cs="楷体"/>
          <w:b w:val="0"/>
          <w:bCs w:val="0"/>
          <w:i w:val="0"/>
          <w:iCs w:val="0"/>
          <w:sz w:val="32"/>
          <w:szCs w:val="32"/>
          <w:u w:val="none"/>
          <w:lang w:eastAsia="zh-CN"/>
        </w:rPr>
        <w:t>第</w:t>
      </w:r>
      <w:r>
        <w:rPr>
          <w:rStyle w:val="12"/>
          <w:rFonts w:hint="eastAsia" w:ascii="楷体" w:hAnsi="楷体" w:eastAsia="楷体" w:cs="楷体"/>
          <w:b w:val="0"/>
          <w:bCs w:val="0"/>
          <w:i w:val="0"/>
          <w:iCs w:val="0"/>
          <w:sz w:val="32"/>
          <w:szCs w:val="32"/>
          <w:u w:val="none"/>
          <w:lang w:val="en-US" w:eastAsia="zh-CN"/>
        </w:rPr>
        <w:t>二十</w:t>
      </w:r>
      <w:r>
        <w:rPr>
          <w:rStyle w:val="12"/>
          <w:rFonts w:hint="eastAsia" w:ascii="楷体" w:hAnsi="楷体" w:eastAsia="楷体" w:cs="楷体"/>
          <w:b w:val="0"/>
          <w:bCs w:val="0"/>
          <w:i w:val="0"/>
          <w:iCs w:val="0"/>
          <w:sz w:val="32"/>
          <w:szCs w:val="32"/>
          <w:u w:val="none"/>
          <w:lang w:eastAsia="zh-CN"/>
        </w:rPr>
        <w:t>条</w:t>
      </w:r>
      <w:r>
        <w:rPr>
          <w:rFonts w:hint="eastAsia" w:ascii="楷体" w:hAnsi="楷体" w:eastAsia="楷体" w:cs="楷体"/>
          <w:b w:val="0"/>
          <w:bCs w:val="0"/>
          <w:i w:val="0"/>
          <w:iCs w:val="0"/>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企业负责人在考核年度和任期内职务变</w:t>
      </w:r>
      <w:r>
        <w:rPr>
          <w:rFonts w:hint="eastAsia" w:ascii="仿宋_GB2312" w:hAnsi="仿宋_GB2312" w:eastAsia="仿宋_GB2312" w:cs="仿宋_GB2312"/>
          <w:color w:val="auto"/>
          <w:spacing w:val="0"/>
          <w:kern w:val="2"/>
          <w:sz w:val="32"/>
          <w:szCs w:val="32"/>
          <w:highlight w:val="none"/>
          <w:u w:val="none"/>
          <w:lang w:eastAsia="zh-CN" w:bidi="ar-SA"/>
        </w:rPr>
        <w:t>动或达到法定退休年龄办理退休等重大事项，企业应及时向</w:t>
      </w:r>
      <w:r>
        <w:rPr>
          <w:rFonts w:hint="eastAsia" w:ascii="仿宋_GB2312" w:hAnsi="仿宋_GB2312" w:eastAsia="仿宋_GB2312" w:cs="仿宋_GB2312"/>
          <w:color w:val="auto"/>
          <w:spacing w:val="0"/>
          <w:kern w:val="2"/>
          <w:sz w:val="32"/>
          <w:szCs w:val="32"/>
          <w:highlight w:val="none"/>
          <w:u w:val="none"/>
          <w:lang w:val="en-US" w:eastAsia="zh-CN" w:bidi="ar-SA"/>
        </w:rPr>
        <w:t>国资局</w:t>
      </w:r>
      <w:r>
        <w:rPr>
          <w:rFonts w:hint="eastAsia" w:ascii="仿宋_GB2312" w:hAnsi="仿宋_GB2312" w:eastAsia="仿宋_GB2312" w:cs="仿宋_GB2312"/>
          <w:color w:val="auto"/>
          <w:spacing w:val="0"/>
          <w:kern w:val="2"/>
          <w:sz w:val="32"/>
          <w:szCs w:val="32"/>
          <w:highlight w:val="none"/>
          <w:u w:val="none"/>
          <w:lang w:eastAsia="zh-CN" w:bidi="ar-SA"/>
        </w:rPr>
        <w:t>报告，并按以下情况处理：</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t>（一）因工作需要经组织安排发生岗位变动调离企业的，自任免机关下发职务调整通知文件次月起，除按当年在企业负责人岗位实际工作月数计提的绩效薪酬和应发任期激励收入外，不得继续在原企业领取薪酬，工资关系不得保留在原企业。</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t>（二）达到法定退休年龄退休、按规定领取养老金的，除按当年在企业负责人岗位实际工作月数</w:t>
      </w:r>
      <w:r>
        <w:rPr>
          <w:rFonts w:hint="eastAsia" w:ascii="仿宋_GB2312" w:hAnsi="仿宋_GB2312" w:eastAsia="仿宋_GB2312" w:cs="仿宋_GB2312"/>
          <w:color w:val="auto"/>
          <w:spacing w:val="0"/>
          <w:sz w:val="32"/>
          <w:szCs w:val="32"/>
          <w:highlight w:val="none"/>
          <w:u w:val="none"/>
          <w:lang w:val="en-US" w:eastAsia="zh-CN"/>
        </w:rPr>
        <w:t>领取</w:t>
      </w:r>
      <w:r>
        <w:rPr>
          <w:rFonts w:hint="eastAsia" w:ascii="仿宋_GB2312" w:hAnsi="仿宋_GB2312" w:eastAsia="仿宋_GB2312" w:cs="仿宋_GB2312"/>
          <w:color w:val="auto"/>
          <w:spacing w:val="0"/>
          <w:sz w:val="32"/>
          <w:szCs w:val="32"/>
          <w:highlight w:val="none"/>
          <w:u w:val="none"/>
          <w:lang w:eastAsia="zh-CN"/>
        </w:rPr>
        <w:t>的绩效薪酬和应发任期激励收入外，不得继续在原企业领取薪酬。</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t>（三）企业负责人因工作变动离开原岗位，但工资关系按规定保留在原企业的，自任免机关下发职务调整通知文件次月起，其基本薪酬参考本企业同岗位</w:t>
      </w:r>
      <w:r>
        <w:rPr>
          <w:rFonts w:hint="eastAsia" w:ascii="仿宋_GB2312" w:hAnsi="仿宋_GB2312" w:eastAsia="仿宋_GB2312" w:cs="仿宋_GB2312"/>
          <w:color w:val="auto"/>
          <w:spacing w:val="0"/>
          <w:sz w:val="32"/>
          <w:szCs w:val="32"/>
          <w:highlight w:val="none"/>
          <w:u w:val="none"/>
          <w:lang w:val="en-US" w:eastAsia="zh-CN"/>
        </w:rPr>
        <w:t>人员</w:t>
      </w:r>
      <w:r>
        <w:rPr>
          <w:rFonts w:hint="eastAsia" w:ascii="仿宋_GB2312" w:hAnsi="仿宋_GB2312" w:eastAsia="仿宋_GB2312" w:cs="仿宋_GB2312"/>
          <w:color w:val="auto"/>
          <w:spacing w:val="0"/>
          <w:sz w:val="32"/>
          <w:szCs w:val="32"/>
          <w:highlight w:val="none"/>
          <w:u w:val="none"/>
          <w:lang w:eastAsia="zh-CN"/>
        </w:rPr>
        <w:t>的基本薪酬确定，除按在企业负责人岗位实际工作月数</w:t>
      </w:r>
      <w:r>
        <w:rPr>
          <w:rFonts w:hint="eastAsia" w:ascii="仿宋_GB2312" w:hAnsi="仿宋_GB2312" w:eastAsia="仿宋_GB2312" w:cs="仿宋_GB2312"/>
          <w:color w:val="auto"/>
          <w:spacing w:val="0"/>
          <w:sz w:val="32"/>
          <w:szCs w:val="32"/>
          <w:highlight w:val="none"/>
          <w:u w:val="none"/>
          <w:lang w:val="en-US" w:eastAsia="zh-CN"/>
        </w:rPr>
        <w:t>领取</w:t>
      </w:r>
      <w:r>
        <w:rPr>
          <w:rFonts w:hint="eastAsia" w:ascii="仿宋_GB2312" w:hAnsi="仿宋_GB2312" w:eastAsia="仿宋_GB2312" w:cs="仿宋_GB2312"/>
          <w:color w:val="auto"/>
          <w:spacing w:val="0"/>
          <w:sz w:val="32"/>
          <w:szCs w:val="32"/>
          <w:highlight w:val="none"/>
          <w:u w:val="none"/>
          <w:lang w:eastAsia="zh-CN"/>
        </w:rPr>
        <w:t>的绩效薪酬和应发任期激励收入外，不再领取负责人绩效薪酬和任期激励收入。</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t>（四）因个人原因离开原企业的，除按当年在企业负责人岗位实际工作月数</w:t>
      </w:r>
      <w:r>
        <w:rPr>
          <w:rFonts w:hint="eastAsia" w:ascii="仿宋_GB2312" w:hAnsi="仿宋_GB2312" w:eastAsia="仿宋_GB2312" w:cs="仿宋_GB2312"/>
          <w:color w:val="auto"/>
          <w:spacing w:val="0"/>
          <w:sz w:val="32"/>
          <w:szCs w:val="32"/>
          <w:highlight w:val="none"/>
          <w:u w:val="none"/>
          <w:lang w:val="en-US" w:eastAsia="zh-CN"/>
        </w:rPr>
        <w:t>领取</w:t>
      </w:r>
      <w:r>
        <w:rPr>
          <w:rFonts w:hint="eastAsia" w:ascii="仿宋_GB2312" w:hAnsi="仿宋_GB2312" w:eastAsia="仿宋_GB2312" w:cs="仿宋_GB2312"/>
          <w:color w:val="auto"/>
          <w:spacing w:val="0"/>
          <w:sz w:val="32"/>
          <w:szCs w:val="32"/>
          <w:highlight w:val="none"/>
          <w:u w:val="none"/>
          <w:lang w:eastAsia="zh-CN"/>
        </w:rPr>
        <w:t>的绩效薪酬和应发任期激励收入外，不得继续在原企业领取薪酬。</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Style w:val="12"/>
          <w:rFonts w:hint="eastAsia" w:ascii="楷体" w:hAnsi="楷体" w:eastAsia="楷体" w:cs="楷体"/>
          <w:b w:val="0"/>
          <w:bCs w:val="0"/>
          <w:i w:val="0"/>
          <w:iCs w:val="0"/>
          <w:sz w:val="32"/>
          <w:szCs w:val="32"/>
          <w:u w:val="none"/>
          <w:lang w:eastAsia="zh-CN"/>
        </w:rPr>
        <w:t>第</w:t>
      </w:r>
      <w:r>
        <w:rPr>
          <w:rStyle w:val="12"/>
          <w:rFonts w:hint="eastAsia" w:ascii="楷体" w:hAnsi="楷体" w:eastAsia="楷体" w:cs="楷体"/>
          <w:b w:val="0"/>
          <w:bCs w:val="0"/>
          <w:i w:val="0"/>
          <w:iCs w:val="0"/>
          <w:sz w:val="32"/>
          <w:szCs w:val="32"/>
          <w:u w:val="none"/>
          <w:lang w:val="en-US" w:eastAsia="zh-CN"/>
        </w:rPr>
        <w:t>二十一</w:t>
      </w:r>
      <w:r>
        <w:rPr>
          <w:rStyle w:val="12"/>
          <w:rFonts w:hint="eastAsia" w:ascii="楷体" w:hAnsi="楷体" w:eastAsia="楷体" w:cs="楷体"/>
          <w:b w:val="0"/>
          <w:bCs w:val="0"/>
          <w:i w:val="0"/>
          <w:iCs w:val="0"/>
          <w:sz w:val="32"/>
          <w:szCs w:val="32"/>
          <w:u w:val="none"/>
          <w:lang w:eastAsia="zh-CN"/>
        </w:rPr>
        <w:t>条</w:t>
      </w:r>
      <w:r>
        <w:rPr>
          <w:rFonts w:hint="eastAsia" w:ascii="楷体" w:hAnsi="楷体" w:eastAsia="楷体" w:cs="楷体"/>
          <w:b w:val="0"/>
          <w:bCs w:val="0"/>
          <w:i w:val="0"/>
          <w:iCs w:val="0"/>
          <w:color w:val="auto"/>
          <w:spacing w:val="0"/>
          <w:sz w:val="32"/>
          <w:szCs w:val="32"/>
          <w:highlight w:val="none"/>
          <w:u w:val="none"/>
          <w:lang w:eastAsia="zh-CN"/>
        </w:rPr>
        <w:t xml:space="preserve"> </w:t>
      </w:r>
      <w:r>
        <w:rPr>
          <w:rFonts w:hint="eastAsia" w:ascii="仿宋_GB2312" w:hAnsi="仿宋_GB2312" w:eastAsia="仿宋_GB2312" w:cs="仿宋_GB2312"/>
          <w:b w:val="0"/>
          <w:bCs w:val="0"/>
          <w:i w:val="0"/>
          <w:iCs w:val="0"/>
          <w:color w:val="auto"/>
          <w:spacing w:val="0"/>
          <w:sz w:val="32"/>
          <w:szCs w:val="32"/>
          <w:highlight w:val="none"/>
          <w:u w:val="none"/>
          <w:lang w:eastAsia="zh-CN"/>
        </w:rPr>
        <w:t xml:space="preserve"> 因工作需要经组织安排发生岗位变动或达到法定退休年龄退休的，任期未满一期且任职不超过一年的企业负责人，不</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予兑现</w:t>
      </w:r>
      <w:r>
        <w:rPr>
          <w:rFonts w:hint="eastAsia" w:ascii="仿宋_GB2312" w:hAnsi="仿宋_GB2312" w:eastAsia="仿宋_GB2312" w:cs="仿宋_GB2312"/>
          <w:b w:val="0"/>
          <w:bCs w:val="0"/>
          <w:i w:val="0"/>
          <w:iCs w:val="0"/>
          <w:color w:val="auto"/>
          <w:spacing w:val="0"/>
          <w:sz w:val="32"/>
          <w:szCs w:val="32"/>
          <w:highlight w:val="none"/>
          <w:u w:val="none"/>
          <w:lang w:eastAsia="zh-CN"/>
        </w:rPr>
        <w:t>任期激励</w:t>
      </w:r>
      <w:r>
        <w:rPr>
          <w:rFonts w:hint="eastAsia" w:ascii="仿宋_GB2312" w:hAnsi="仿宋_GB2312" w:eastAsia="仿宋_GB2312" w:cs="仿宋_GB2312"/>
          <w:b w:val="0"/>
          <w:bCs w:val="0"/>
          <w:i w:val="0"/>
          <w:iCs w:val="0"/>
          <w:color w:val="auto"/>
          <w:spacing w:val="0"/>
          <w:sz w:val="32"/>
          <w:szCs w:val="32"/>
          <w:highlight w:val="none"/>
          <w:u w:val="none"/>
          <w:lang w:val="en-US" w:eastAsia="zh-CN"/>
        </w:rPr>
        <w:t>收入</w:t>
      </w:r>
      <w:r>
        <w:rPr>
          <w:rFonts w:hint="eastAsia" w:ascii="仿宋_GB2312" w:hAnsi="仿宋_GB2312" w:eastAsia="仿宋_GB2312" w:cs="仿宋_GB2312"/>
          <w:b w:val="0"/>
          <w:bCs w:val="0"/>
          <w:i w:val="0"/>
          <w:iCs w:val="0"/>
          <w:color w:val="auto"/>
          <w:spacing w:val="0"/>
          <w:sz w:val="32"/>
          <w:szCs w:val="32"/>
          <w:highlight w:val="none"/>
          <w:u w:val="none"/>
          <w:lang w:eastAsia="zh-CN"/>
        </w:rPr>
        <w:t>；任期未满一期且任职超过一年的企业负责人，按任职时段兑现任期激励</w:t>
      </w:r>
      <w:r>
        <w:rPr>
          <w:rFonts w:hint="eastAsia" w:ascii="仿宋_GB2312" w:hAnsi="仿宋_GB2312" w:eastAsia="仿宋_GB2312" w:cs="仿宋_GB2312"/>
          <w:b w:val="0"/>
          <w:bCs w:val="0"/>
          <w:i w:val="0"/>
          <w:iCs w:val="0"/>
          <w:color w:val="auto"/>
          <w:spacing w:val="0"/>
          <w:sz w:val="32"/>
          <w:szCs w:val="32"/>
          <w:highlight w:val="none"/>
          <w:u w:val="none"/>
          <w:lang w:val="en-US" w:eastAsia="zh-CN"/>
        </w:rPr>
        <w:t>收入</w:t>
      </w:r>
      <w:r>
        <w:rPr>
          <w:rFonts w:hint="eastAsia" w:ascii="仿宋_GB2312" w:hAnsi="仿宋_GB2312" w:eastAsia="仿宋_GB2312" w:cs="仿宋_GB2312"/>
          <w:b w:val="0"/>
          <w:bCs w:val="0"/>
          <w:i w:val="0"/>
          <w:iCs w:val="0"/>
          <w:color w:val="auto"/>
          <w:spacing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Fonts w:hint="eastAsia" w:ascii="仿宋_GB2312" w:hAnsi="仿宋_GB2312" w:eastAsia="仿宋_GB2312" w:cs="仿宋_GB2312"/>
          <w:b w:val="0"/>
          <w:bCs w:val="0"/>
          <w:i w:val="0"/>
          <w:iCs w:val="0"/>
          <w:color w:val="auto"/>
          <w:spacing w:val="0"/>
          <w:sz w:val="32"/>
          <w:szCs w:val="32"/>
          <w:highlight w:val="none"/>
          <w:u w:val="none"/>
          <w:lang w:eastAsia="zh-CN"/>
        </w:rPr>
        <w:t>因个人原因离职，任期未满一期的的企业负责人，不予兑现任期激励收入。</w:t>
      </w:r>
    </w:p>
    <w:bookmarkEnd w:id="3"/>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第二十</w:t>
      </w:r>
      <w:r>
        <w:rPr>
          <w:rStyle w:val="12"/>
          <w:rFonts w:hint="eastAsia" w:ascii="楷体" w:hAnsi="楷体" w:eastAsia="楷体" w:cs="楷体"/>
          <w:b w:val="0"/>
          <w:sz w:val="32"/>
          <w:szCs w:val="32"/>
          <w:lang w:val="en-US" w:eastAsia="zh-CN"/>
        </w:rPr>
        <w:t>二</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企业负责人违反国家法律法规的有关规定，</w:t>
      </w:r>
      <w:r>
        <w:rPr>
          <w:rFonts w:hint="eastAsia" w:ascii="仿宋_GB2312" w:hAnsi="仿宋_GB2312" w:eastAsia="仿宋_GB2312" w:cs="仿宋_GB2312"/>
          <w:color w:val="auto"/>
          <w:spacing w:val="0"/>
          <w:sz w:val="32"/>
          <w:szCs w:val="32"/>
          <w:highlight w:val="none"/>
          <w:u w:val="none"/>
          <w:lang w:val="en-US" w:eastAsia="zh-CN"/>
        </w:rPr>
        <w:t>违规经营投资，发生</w:t>
      </w:r>
      <w:r>
        <w:rPr>
          <w:rFonts w:hint="eastAsia" w:ascii="仿宋_GB2312" w:hAnsi="仿宋_GB2312" w:eastAsia="仿宋_GB2312" w:cs="仿宋_GB2312"/>
          <w:color w:val="auto"/>
          <w:spacing w:val="0"/>
          <w:sz w:val="32"/>
          <w:szCs w:val="32"/>
          <w:highlight w:val="none"/>
          <w:u w:val="none"/>
          <w:lang w:eastAsia="zh-CN"/>
        </w:rPr>
        <w:t>重大决策失误、重大安全与质量责任事故、重大环境污染事故、重大危机和法律纠纷案件，造成重大不良影响或者造成国有资产流失的，不得兑现绩效薪酬和任期激励</w:t>
      </w:r>
      <w:r>
        <w:rPr>
          <w:rFonts w:hint="eastAsia" w:ascii="仿宋_GB2312" w:hAnsi="仿宋_GB2312" w:eastAsia="仿宋_GB2312" w:cs="仿宋_GB2312"/>
          <w:color w:val="auto"/>
          <w:spacing w:val="0"/>
          <w:sz w:val="32"/>
          <w:szCs w:val="32"/>
          <w:highlight w:val="none"/>
          <w:u w:val="none"/>
          <w:lang w:val="en-US" w:eastAsia="zh-CN"/>
        </w:rPr>
        <w:t>收入</w:t>
      </w:r>
      <w:r>
        <w:rPr>
          <w:rFonts w:hint="eastAsia" w:ascii="仿宋_GB2312" w:hAnsi="仿宋_GB2312" w:eastAsia="仿宋_GB2312" w:cs="仿宋_GB2312"/>
          <w:color w:val="auto"/>
          <w:spacing w:val="0"/>
          <w:sz w:val="32"/>
          <w:szCs w:val="32"/>
          <w:highlight w:val="none"/>
          <w:u w:val="none"/>
          <w:lang w:eastAsia="zh-CN"/>
        </w:rPr>
        <w:t>，并依法追究责任。</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第二十</w:t>
      </w:r>
      <w:r>
        <w:rPr>
          <w:rStyle w:val="12"/>
          <w:rFonts w:hint="eastAsia" w:ascii="楷体" w:hAnsi="楷体" w:eastAsia="楷体" w:cs="楷体"/>
          <w:b w:val="0"/>
          <w:sz w:val="32"/>
          <w:szCs w:val="32"/>
          <w:lang w:val="en-US" w:eastAsia="zh-CN"/>
        </w:rPr>
        <w:t>三</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企业违反《中华人民共和国会计法》《企业会计准则》等有关法律法规规章，虚报、瞒报财务状况的，</w:t>
      </w:r>
      <w:r>
        <w:rPr>
          <w:rFonts w:hint="eastAsia" w:ascii="仿宋_GB2312" w:hAnsi="仿宋_GB2312" w:eastAsia="仿宋_GB2312" w:cs="仿宋_GB2312"/>
          <w:color w:val="auto"/>
          <w:spacing w:val="0"/>
          <w:sz w:val="32"/>
          <w:szCs w:val="32"/>
          <w:highlight w:val="none"/>
          <w:u w:val="none"/>
          <w:lang w:val="en-US" w:eastAsia="zh-CN"/>
        </w:rPr>
        <w:t>企业负责人</w:t>
      </w:r>
      <w:r>
        <w:rPr>
          <w:rFonts w:hint="eastAsia" w:ascii="仿宋_GB2312" w:hAnsi="仿宋_GB2312" w:eastAsia="仿宋_GB2312" w:cs="仿宋_GB2312"/>
          <w:color w:val="auto"/>
          <w:spacing w:val="0"/>
          <w:sz w:val="32"/>
          <w:szCs w:val="32"/>
          <w:highlight w:val="none"/>
          <w:u w:val="none"/>
          <w:lang w:eastAsia="zh-CN"/>
        </w:rPr>
        <w:t>不得领取绩效薪酬和任期激励</w:t>
      </w:r>
      <w:r>
        <w:rPr>
          <w:rFonts w:hint="eastAsia" w:ascii="仿宋_GB2312" w:hAnsi="仿宋_GB2312" w:eastAsia="仿宋_GB2312" w:cs="仿宋_GB2312"/>
          <w:color w:val="auto"/>
          <w:spacing w:val="0"/>
          <w:sz w:val="32"/>
          <w:szCs w:val="32"/>
          <w:highlight w:val="none"/>
          <w:u w:val="none"/>
          <w:lang w:val="en-US" w:eastAsia="zh-CN"/>
        </w:rPr>
        <w:t>收入</w:t>
      </w:r>
      <w:r>
        <w:rPr>
          <w:rFonts w:hint="eastAsia" w:ascii="仿宋_GB2312" w:hAnsi="仿宋_GB2312" w:eastAsia="仿宋_GB2312" w:cs="仿宋_GB2312"/>
          <w:color w:val="auto"/>
          <w:spacing w:val="0"/>
          <w:sz w:val="32"/>
          <w:szCs w:val="32"/>
          <w:highlight w:val="none"/>
          <w:u w:val="none"/>
          <w:lang w:eastAsia="zh-CN"/>
        </w:rPr>
        <w:t>，并依法追究责任。</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6"/>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二十四</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val="en-US" w:eastAsia="zh-CN"/>
        </w:rPr>
        <w:t xml:space="preserve"> </w:t>
      </w:r>
      <w:r>
        <w:rPr>
          <w:rFonts w:hint="eastAsia" w:ascii="仿宋_GB2312" w:hAnsi="仿宋_GB2312" w:eastAsia="仿宋_GB2312" w:cs="仿宋_GB2312"/>
          <w:color w:val="auto"/>
          <w:spacing w:val="-6"/>
          <w:sz w:val="32"/>
          <w:szCs w:val="32"/>
          <w:highlight w:val="none"/>
          <w:u w:val="none"/>
          <w:lang w:val="en-US" w:eastAsia="zh-CN"/>
        </w:rPr>
        <w:t>根据《中国共产党纪律处分条例》《中国共产党组织处理规定》（试行）《中华人民共和国公职人员政务处分法》及《国有企业管理人员处分条例》等有关规定，企业负责人因违规违纪违法受到党纪处分、组织处理、政务处分和司法追究的，按照下列情形和标准追索扣回责任认定年度部分或全部绩效薪酬和任期激励收入。</w:t>
      </w:r>
    </w:p>
    <w:p>
      <w:pPr>
        <w:keepNext w:val="0"/>
        <w:keepLines w:val="0"/>
        <w:pageBreakBefore w:val="0"/>
        <w:widowControl w:val="0"/>
        <w:kinsoku/>
        <w:wordWrap/>
        <w:overflowPunct w:val="0"/>
        <w:topLinePunct w:val="0"/>
        <w:autoSpaceDE/>
        <w:autoSpaceDN/>
        <w:bidi w:val="0"/>
        <w:adjustRightInd/>
        <w:snapToGrid/>
        <w:spacing w:line="540" w:lineRule="exact"/>
        <w:ind w:firstLine="616" w:firstLineChars="200"/>
        <w:textAlignment w:val="auto"/>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lang w:val="en-US" w:eastAsia="zh-CN"/>
        </w:rPr>
        <w:t>责任认定年度是指责任追究处理年度。有关责任人在责任追究处理年度无任职或任职不满全年的，按照最近一个完整任职年度执行；若无完整任职年度的，参照处理前实际任职月度（不超过12个月）执行。责任人在责任认定年度已不在原岗位的，按在原岗位最近一个完整年度薪酬及前三年（含）所对应的任期激励收入追索扣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楷体" w:hAnsi="楷体" w:eastAsia="楷体" w:cs="楷体"/>
          <w:b w:val="0"/>
          <w:sz w:val="32"/>
          <w:szCs w:val="32"/>
          <w:lang w:eastAsia="zh-CN"/>
        </w:rPr>
      </w:pPr>
      <w:r>
        <w:rPr>
          <w:rStyle w:val="12"/>
          <w:rFonts w:hint="eastAsia" w:ascii="楷体" w:hAnsi="楷体" w:eastAsia="楷体" w:cs="楷体"/>
          <w:b w:val="0"/>
          <w:sz w:val="32"/>
          <w:szCs w:val="32"/>
          <w:lang w:eastAsia="zh-CN"/>
        </w:rPr>
        <w:t>（一）党纪处分</w:t>
      </w:r>
    </w:p>
    <w:p>
      <w:pPr>
        <w:keepNext w:val="0"/>
        <w:keepLines w:val="0"/>
        <w:pageBreakBefore w:val="0"/>
        <w:widowControl w:val="0"/>
        <w:kinsoku/>
        <w:wordWrap/>
        <w:overflowPunct w:val="0"/>
        <w:topLinePunct w:val="0"/>
        <w:autoSpaceDE/>
        <w:autoSpaceDN/>
        <w:bidi w:val="0"/>
        <w:adjustRightInd/>
        <w:snapToGrid/>
        <w:spacing w:line="540" w:lineRule="exact"/>
        <w:ind w:firstLine="616" w:firstLineChars="200"/>
        <w:textAlignment w:val="auto"/>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lang w:eastAsia="zh-CN"/>
        </w:rPr>
        <w:t>1.受到党内警告处分的，扣减责任认定年度绩效薪酬的</w:t>
      </w:r>
      <w:r>
        <w:rPr>
          <w:rFonts w:hint="eastAsia" w:ascii="仿宋_GB2312" w:hAnsi="仿宋_GB2312" w:eastAsia="仿宋_GB2312" w:cs="仿宋_GB2312"/>
          <w:color w:val="auto"/>
          <w:spacing w:val="-6"/>
          <w:sz w:val="32"/>
          <w:szCs w:val="32"/>
          <w:highlight w:val="none"/>
          <w:u w:val="none"/>
          <w:lang w:val="en-US" w:eastAsia="zh-CN"/>
        </w:rPr>
        <w:t>10</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eastAsia="zh-CN"/>
        </w:rPr>
        <w:t>2.受到党内严重警告处分的，</w:t>
      </w:r>
      <w:r>
        <w:rPr>
          <w:rFonts w:hint="eastAsia" w:ascii="仿宋_GB2312" w:hAnsi="仿宋_GB2312" w:eastAsia="仿宋_GB2312" w:cs="仿宋_GB2312"/>
          <w:color w:val="auto"/>
          <w:spacing w:val="0"/>
          <w:sz w:val="32"/>
          <w:szCs w:val="32"/>
          <w:highlight w:val="none"/>
          <w:u w:val="none"/>
          <w:lang w:val="en-US" w:eastAsia="zh-CN"/>
        </w:rPr>
        <w:t>考核为不定等的</w:t>
      </w:r>
      <w:r>
        <w:rPr>
          <w:rFonts w:hint="eastAsia" w:ascii="仿宋_GB2312" w:hAnsi="仿宋_GB2312" w:eastAsia="仿宋_GB2312" w:cs="仿宋_GB2312"/>
          <w:color w:val="auto"/>
          <w:spacing w:val="0"/>
          <w:sz w:val="32"/>
          <w:szCs w:val="32"/>
          <w:highlight w:val="none"/>
          <w:u w:val="none"/>
          <w:lang w:eastAsia="zh-CN"/>
        </w:rPr>
        <w:t>扣减责任认定年度绩效薪酬的</w:t>
      </w:r>
      <w:r>
        <w:rPr>
          <w:rFonts w:hint="eastAsia" w:ascii="仿宋_GB2312" w:hAnsi="仿宋_GB2312" w:eastAsia="仿宋_GB2312" w:cs="仿宋_GB2312"/>
          <w:color w:val="auto"/>
          <w:spacing w:val="0"/>
          <w:sz w:val="32"/>
          <w:szCs w:val="32"/>
          <w:highlight w:val="none"/>
          <w:u w:val="none"/>
          <w:lang w:val="en-US" w:eastAsia="zh-CN"/>
        </w:rPr>
        <w:t>20</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val="en-US" w:eastAsia="zh-CN"/>
        </w:rPr>
        <w:t>考核为不称职的</w:t>
      </w:r>
      <w:r>
        <w:rPr>
          <w:rFonts w:hint="eastAsia" w:ascii="仿宋_GB2312" w:hAnsi="仿宋_GB2312" w:eastAsia="仿宋_GB2312" w:cs="仿宋_GB2312"/>
          <w:color w:val="auto"/>
          <w:spacing w:val="0"/>
          <w:sz w:val="32"/>
          <w:szCs w:val="32"/>
          <w:highlight w:val="none"/>
          <w:u w:val="none"/>
          <w:lang w:eastAsia="zh-CN"/>
        </w:rPr>
        <w:t>扣减责任认定年度</w:t>
      </w:r>
      <w:r>
        <w:rPr>
          <w:rFonts w:hint="eastAsia" w:ascii="仿宋_GB2312" w:hAnsi="仿宋_GB2312" w:eastAsia="仿宋_GB2312" w:cs="仿宋_GB2312"/>
          <w:color w:val="auto"/>
          <w:spacing w:val="0"/>
          <w:sz w:val="32"/>
          <w:szCs w:val="32"/>
          <w:highlight w:val="none"/>
          <w:u w:val="none"/>
          <w:lang w:val="en-US" w:eastAsia="zh-CN"/>
        </w:rPr>
        <w:t>的全部</w:t>
      </w:r>
      <w:r>
        <w:rPr>
          <w:rFonts w:hint="eastAsia" w:ascii="仿宋_GB2312" w:hAnsi="仿宋_GB2312" w:eastAsia="仿宋_GB2312" w:cs="仿宋_GB2312"/>
          <w:color w:val="auto"/>
          <w:spacing w:val="0"/>
          <w:sz w:val="32"/>
          <w:szCs w:val="32"/>
          <w:highlight w:val="none"/>
          <w:u w:val="none"/>
          <w:lang w:eastAsia="zh-CN"/>
        </w:rPr>
        <w:t>绩效薪酬。</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t>3.受到撤销党内职务、留党察看、开除党籍处分的，自</w:t>
      </w:r>
      <w:r>
        <w:rPr>
          <w:rFonts w:hint="eastAsia" w:ascii="仿宋_GB2312" w:hAnsi="仿宋_GB2312" w:eastAsia="仿宋_GB2312" w:cs="仿宋_GB2312"/>
          <w:color w:val="auto"/>
          <w:spacing w:val="0"/>
          <w:sz w:val="32"/>
          <w:szCs w:val="32"/>
          <w:highlight w:val="none"/>
          <w:u w:val="none"/>
          <w:lang w:val="en-US" w:eastAsia="zh-CN"/>
        </w:rPr>
        <w:t>执行</w:t>
      </w:r>
      <w:r>
        <w:rPr>
          <w:rFonts w:hint="eastAsia" w:ascii="仿宋_GB2312" w:hAnsi="仿宋_GB2312" w:eastAsia="仿宋_GB2312" w:cs="仿宋_GB2312"/>
          <w:color w:val="auto"/>
          <w:spacing w:val="0"/>
          <w:sz w:val="32"/>
          <w:szCs w:val="32"/>
          <w:highlight w:val="none"/>
          <w:u w:val="none"/>
          <w:lang w:eastAsia="zh-CN"/>
        </w:rPr>
        <w:t>之月起停止发放基本薪酬、绩效薪酬和任期激励收入；扣减或追索扣回责任认定年度</w:t>
      </w:r>
      <w:r>
        <w:rPr>
          <w:rFonts w:hint="eastAsia" w:ascii="仿宋_GB2312" w:hAnsi="仿宋_GB2312" w:eastAsia="仿宋_GB2312" w:cs="仿宋_GB2312"/>
          <w:color w:val="auto"/>
          <w:spacing w:val="0"/>
          <w:sz w:val="32"/>
          <w:szCs w:val="32"/>
          <w:highlight w:val="none"/>
          <w:u w:val="none"/>
          <w:lang w:val="en-US" w:eastAsia="zh-CN"/>
        </w:rPr>
        <w:t>的全部</w:t>
      </w:r>
      <w:r>
        <w:rPr>
          <w:rFonts w:hint="eastAsia" w:ascii="仿宋_GB2312" w:hAnsi="仿宋_GB2312" w:eastAsia="仿宋_GB2312" w:cs="仿宋_GB2312"/>
          <w:color w:val="auto"/>
          <w:spacing w:val="0"/>
          <w:sz w:val="32"/>
          <w:szCs w:val="32"/>
          <w:highlight w:val="none"/>
          <w:u w:val="none"/>
          <w:lang w:eastAsia="zh-CN"/>
        </w:rPr>
        <w:t>绩效薪酬</w:t>
      </w:r>
      <w:r>
        <w:rPr>
          <w:rFonts w:hint="eastAsia" w:ascii="仿宋_GB2312" w:hAnsi="仿宋_GB2312" w:eastAsia="仿宋_GB2312" w:cs="仿宋_GB2312"/>
          <w:color w:val="auto"/>
          <w:spacing w:val="0"/>
          <w:sz w:val="32"/>
          <w:szCs w:val="32"/>
          <w:highlight w:val="none"/>
          <w:u w:val="none"/>
          <w:lang w:val="en-US" w:eastAsia="zh-CN"/>
        </w:rPr>
        <w:t>和</w:t>
      </w:r>
      <w:r>
        <w:rPr>
          <w:rFonts w:hint="eastAsia" w:ascii="仿宋_GB2312" w:hAnsi="仿宋_GB2312" w:eastAsia="仿宋_GB2312" w:cs="仿宋_GB2312"/>
          <w:color w:val="auto"/>
          <w:spacing w:val="0"/>
          <w:sz w:val="32"/>
          <w:szCs w:val="32"/>
          <w:highlight w:val="none"/>
          <w:u w:val="none"/>
          <w:lang w:eastAsia="zh-CN"/>
        </w:rPr>
        <w:t>当期全部任期激励收入。</w:t>
      </w:r>
    </w:p>
    <w:p>
      <w:pPr>
        <w:pStyle w:val="5"/>
        <w:spacing w:line="540" w:lineRule="exact"/>
        <w:rPr>
          <w:rFonts w:hint="default"/>
          <w:lang w:val="en-US" w:eastAsia="zh-CN"/>
        </w:rPr>
      </w:pPr>
      <w:r>
        <w:rPr>
          <w:rFonts w:hint="eastAsia" w:ascii="仿宋_GB2312" w:hAnsi="仿宋_GB2312" w:eastAsia="仿宋_GB2312" w:cs="仿宋_GB2312"/>
          <w:color w:val="auto"/>
          <w:spacing w:val="0"/>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lang w:eastAsia="zh-CN"/>
        </w:rPr>
        <w:t>预备党员在预备期受到延长预备期、取消预备资格处分的</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单位考核对其本人扣除相应的考核分值。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楷体" w:hAnsi="楷体" w:eastAsia="楷体" w:cs="楷体"/>
          <w:b w:val="0"/>
          <w:sz w:val="32"/>
          <w:szCs w:val="32"/>
          <w:lang w:eastAsia="zh-CN"/>
        </w:rPr>
      </w:pPr>
      <w:r>
        <w:rPr>
          <w:rStyle w:val="12"/>
          <w:rFonts w:hint="eastAsia" w:ascii="楷体" w:hAnsi="楷体" w:eastAsia="楷体" w:cs="楷体"/>
          <w:b w:val="0"/>
          <w:sz w:val="32"/>
          <w:szCs w:val="32"/>
          <w:lang w:eastAsia="zh-CN"/>
        </w:rPr>
        <w:t>（</w:t>
      </w:r>
      <w:r>
        <w:rPr>
          <w:rStyle w:val="12"/>
          <w:rFonts w:hint="eastAsia" w:ascii="楷体" w:hAnsi="楷体" w:eastAsia="楷体" w:cs="楷体"/>
          <w:b w:val="0"/>
          <w:sz w:val="32"/>
          <w:szCs w:val="32"/>
          <w:lang w:val="en-US" w:eastAsia="zh-CN"/>
        </w:rPr>
        <w:t>二</w:t>
      </w:r>
      <w:r>
        <w:rPr>
          <w:rStyle w:val="12"/>
          <w:rFonts w:hint="eastAsia" w:ascii="楷体" w:hAnsi="楷体" w:eastAsia="楷体" w:cs="楷体"/>
          <w:b w:val="0"/>
          <w:sz w:val="32"/>
          <w:szCs w:val="32"/>
          <w:lang w:eastAsia="zh-CN"/>
        </w:rPr>
        <w:t>）</w:t>
      </w:r>
      <w:r>
        <w:rPr>
          <w:rStyle w:val="12"/>
          <w:rFonts w:hint="eastAsia" w:ascii="楷体" w:hAnsi="楷体" w:eastAsia="楷体" w:cs="楷体"/>
          <w:b w:val="0"/>
          <w:sz w:val="32"/>
          <w:szCs w:val="32"/>
          <w:lang w:val="en-US" w:eastAsia="zh-CN"/>
        </w:rPr>
        <w:t>组织处理或</w:t>
      </w:r>
      <w:r>
        <w:rPr>
          <w:rStyle w:val="12"/>
          <w:rFonts w:hint="eastAsia" w:ascii="楷体" w:hAnsi="楷体" w:eastAsia="楷体" w:cs="楷体"/>
          <w:b w:val="0"/>
          <w:sz w:val="32"/>
          <w:szCs w:val="32"/>
          <w:lang w:eastAsia="zh-CN"/>
        </w:rPr>
        <w:t>政务处分</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val="en-US" w:eastAsia="zh-CN"/>
        </w:rPr>
        <w:t>1</w:t>
      </w:r>
      <w:r>
        <w:rPr>
          <w:rFonts w:hint="eastAsia" w:ascii="仿宋_GB2312" w:hAnsi="仿宋_GB2312" w:eastAsia="仿宋_GB2312" w:cs="仿宋_GB2312"/>
          <w:color w:val="auto"/>
          <w:spacing w:val="0"/>
          <w:sz w:val="32"/>
          <w:szCs w:val="32"/>
          <w:highlight w:val="none"/>
          <w:u w:val="none"/>
          <w:lang w:eastAsia="zh-CN"/>
        </w:rPr>
        <w:t>.受到记过处分的，扣减责任认定年度绩效薪酬的</w:t>
      </w:r>
      <w:r>
        <w:rPr>
          <w:rFonts w:hint="eastAsia" w:ascii="仿宋_GB2312" w:hAnsi="仿宋_GB2312" w:eastAsia="仿宋_GB2312" w:cs="仿宋_GB2312"/>
          <w:color w:val="auto"/>
          <w:spacing w:val="0"/>
          <w:sz w:val="32"/>
          <w:szCs w:val="32"/>
          <w:highlight w:val="none"/>
          <w:u w:val="none"/>
          <w:lang w:val="en-US" w:eastAsia="zh-CN"/>
        </w:rPr>
        <w:t>10</w:t>
      </w:r>
      <w:r>
        <w:rPr>
          <w:rFonts w:hint="eastAsia" w:ascii="仿宋_GB2312" w:hAnsi="仿宋_GB2312" w:eastAsia="仿宋_GB2312" w:cs="仿宋_GB2312"/>
          <w:color w:val="auto"/>
          <w:spacing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val="en-US" w:eastAsia="zh-CN"/>
        </w:rPr>
        <w:t>2</w:t>
      </w:r>
      <w:r>
        <w:rPr>
          <w:rFonts w:hint="eastAsia" w:ascii="仿宋_GB2312" w:hAnsi="仿宋_GB2312" w:eastAsia="仿宋_GB2312" w:cs="仿宋_GB2312"/>
          <w:color w:val="auto"/>
          <w:spacing w:val="0"/>
          <w:sz w:val="32"/>
          <w:szCs w:val="32"/>
          <w:highlight w:val="none"/>
          <w:u w:val="none"/>
          <w:lang w:eastAsia="zh-CN"/>
        </w:rPr>
        <w:t>.受到记大过处分的，扣减责任认定年度绩效薪酬的</w:t>
      </w:r>
      <w:r>
        <w:rPr>
          <w:rFonts w:hint="eastAsia" w:ascii="仿宋_GB2312" w:hAnsi="仿宋_GB2312" w:eastAsia="仿宋_GB2312" w:cs="仿宋_GB2312"/>
          <w:color w:val="auto"/>
          <w:spacing w:val="0"/>
          <w:sz w:val="32"/>
          <w:szCs w:val="32"/>
          <w:highlight w:val="none"/>
          <w:u w:val="none"/>
          <w:lang w:val="en-US" w:eastAsia="zh-CN"/>
        </w:rPr>
        <w:t>2</w:t>
      </w:r>
      <w:r>
        <w:rPr>
          <w:rFonts w:hint="eastAsia" w:ascii="仿宋_GB2312" w:hAnsi="仿宋_GB2312" w:eastAsia="仿宋_GB2312" w:cs="仿宋_GB2312"/>
          <w:color w:val="auto"/>
          <w:spacing w:val="0"/>
          <w:sz w:val="32"/>
          <w:szCs w:val="32"/>
          <w:highlight w:val="none"/>
          <w:u w:val="none"/>
          <w:lang w:eastAsia="zh-CN"/>
        </w:rPr>
        <w:t>0%；</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val="en-US" w:eastAsia="zh-CN"/>
        </w:rPr>
        <w:t>3.企业负责人受到停职检查、调整职务、降职（降级）处理的，自处理次月起，停止发放原岗位、原职级的基本薪酬、绩效薪酬和任期激励收入，分别追索扣回其认定年度30%、40%、50%的绩效薪酬，降职（降级）处理的同时扣回责任认定年度</w:t>
      </w:r>
      <w:r>
        <w:rPr>
          <w:rFonts w:hint="eastAsia" w:ascii="仿宋_GB2312" w:hAnsi="仿宋_GB2312" w:eastAsia="仿宋_GB2312" w:cs="仿宋_GB2312"/>
          <w:color w:val="auto"/>
          <w:spacing w:val="0"/>
          <w:sz w:val="32"/>
          <w:szCs w:val="32"/>
          <w:highlight w:val="none"/>
          <w:u w:val="none"/>
          <w:lang w:eastAsia="zh-CN"/>
        </w:rPr>
        <w:t>所在任期（或上一任期未兑现的）</w:t>
      </w:r>
      <w:r>
        <w:rPr>
          <w:rFonts w:hint="eastAsia" w:ascii="仿宋_GB2312" w:hAnsi="仿宋_GB2312" w:eastAsia="仿宋_GB2312" w:cs="仿宋_GB2312"/>
          <w:color w:val="auto"/>
          <w:spacing w:val="0"/>
          <w:sz w:val="32"/>
          <w:szCs w:val="32"/>
          <w:highlight w:val="none"/>
          <w:u w:val="none"/>
          <w:lang w:val="en-US" w:eastAsia="zh-CN"/>
        </w:rPr>
        <w:t>50%的任期激励收入；</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val="en-US" w:eastAsia="zh-CN"/>
        </w:rPr>
        <w:t>4</w:t>
      </w:r>
      <w:r>
        <w:rPr>
          <w:rFonts w:hint="eastAsia" w:ascii="仿宋_GB2312" w:hAnsi="仿宋_GB2312" w:eastAsia="仿宋_GB2312" w:cs="仿宋_GB2312"/>
          <w:color w:val="auto"/>
          <w:spacing w:val="0"/>
          <w:sz w:val="32"/>
          <w:szCs w:val="32"/>
          <w:highlight w:val="none"/>
          <w:u w:val="none"/>
          <w:lang w:eastAsia="zh-CN"/>
        </w:rPr>
        <w:t>.受到</w:t>
      </w:r>
      <w:r>
        <w:rPr>
          <w:rFonts w:hint="eastAsia" w:ascii="仿宋_GB2312" w:hAnsi="仿宋_GB2312" w:eastAsia="仿宋_GB2312" w:cs="仿宋_GB2312"/>
          <w:color w:val="auto"/>
          <w:spacing w:val="0"/>
          <w:sz w:val="32"/>
          <w:szCs w:val="32"/>
          <w:highlight w:val="none"/>
          <w:u w:val="none"/>
          <w:lang w:val="en-US" w:eastAsia="zh-CN"/>
        </w:rPr>
        <w:t>责令辞职、免职（</w:t>
      </w:r>
      <w:r>
        <w:rPr>
          <w:rFonts w:hint="eastAsia" w:ascii="仿宋_GB2312" w:hAnsi="仿宋_GB2312" w:eastAsia="仿宋_GB2312" w:cs="仿宋_GB2312"/>
          <w:color w:val="auto"/>
          <w:spacing w:val="0"/>
          <w:sz w:val="32"/>
          <w:szCs w:val="32"/>
          <w:highlight w:val="none"/>
          <w:u w:val="none"/>
          <w:lang w:eastAsia="zh-CN"/>
        </w:rPr>
        <w:t>撤职</w:t>
      </w:r>
      <w:r>
        <w:rPr>
          <w:rFonts w:hint="eastAsia" w:ascii="仿宋_GB2312" w:hAnsi="仿宋_GB2312" w:eastAsia="仿宋_GB2312" w:cs="仿宋_GB2312"/>
          <w:color w:val="auto"/>
          <w:spacing w:val="0"/>
          <w:sz w:val="32"/>
          <w:szCs w:val="32"/>
          <w:highlight w:val="none"/>
          <w:u w:val="none"/>
          <w:lang w:val="en-US" w:eastAsia="zh-CN"/>
        </w:rPr>
        <w:t>）或</w:t>
      </w:r>
      <w:r>
        <w:rPr>
          <w:rFonts w:hint="eastAsia" w:ascii="仿宋_GB2312" w:hAnsi="仿宋_GB2312" w:eastAsia="仿宋_GB2312" w:cs="仿宋_GB2312"/>
          <w:color w:val="auto"/>
          <w:spacing w:val="0"/>
          <w:sz w:val="32"/>
          <w:szCs w:val="32"/>
          <w:highlight w:val="none"/>
          <w:u w:val="none"/>
          <w:lang w:eastAsia="zh-CN"/>
        </w:rPr>
        <w:t>开除处</w:t>
      </w:r>
      <w:r>
        <w:rPr>
          <w:rFonts w:hint="eastAsia" w:ascii="仿宋_GB2312" w:hAnsi="仿宋_GB2312" w:eastAsia="仿宋_GB2312" w:cs="仿宋_GB2312"/>
          <w:color w:val="auto"/>
          <w:spacing w:val="0"/>
          <w:sz w:val="32"/>
          <w:szCs w:val="32"/>
          <w:highlight w:val="none"/>
          <w:u w:val="none"/>
          <w:lang w:val="en-US" w:eastAsia="zh-CN"/>
        </w:rPr>
        <w:t>理</w:t>
      </w:r>
      <w:r>
        <w:rPr>
          <w:rFonts w:hint="eastAsia" w:ascii="仿宋_GB2312" w:hAnsi="仿宋_GB2312" w:eastAsia="仿宋_GB2312" w:cs="仿宋_GB2312"/>
          <w:color w:val="auto"/>
          <w:spacing w:val="0"/>
          <w:sz w:val="32"/>
          <w:szCs w:val="32"/>
          <w:highlight w:val="none"/>
          <w:u w:val="none"/>
          <w:lang w:eastAsia="zh-CN"/>
        </w:rPr>
        <w:t>的，</w:t>
      </w:r>
      <w:r>
        <w:rPr>
          <w:rFonts w:hint="eastAsia" w:ascii="仿宋_GB2312" w:hAnsi="仿宋_GB2312" w:eastAsia="仿宋_GB2312" w:cs="仿宋_GB2312"/>
          <w:color w:val="auto"/>
          <w:spacing w:val="0"/>
          <w:sz w:val="32"/>
          <w:szCs w:val="32"/>
          <w:highlight w:val="none"/>
          <w:u w:val="none"/>
          <w:lang w:val="en-US" w:eastAsia="zh-CN"/>
        </w:rPr>
        <w:t>自处理次月起，停止发放其基本薪酬、绩效薪酬和任期激励收入，</w:t>
      </w:r>
      <w:r>
        <w:rPr>
          <w:rFonts w:hint="eastAsia" w:ascii="仿宋_GB2312" w:hAnsi="仿宋_GB2312" w:eastAsia="仿宋_GB2312" w:cs="仿宋_GB2312"/>
          <w:color w:val="auto"/>
          <w:spacing w:val="0"/>
          <w:sz w:val="32"/>
          <w:szCs w:val="32"/>
          <w:highlight w:val="none"/>
          <w:u w:val="none"/>
          <w:lang w:eastAsia="zh-CN"/>
        </w:rPr>
        <w:t>扣减责任认定年度全部绩效薪酬</w:t>
      </w:r>
      <w:r>
        <w:rPr>
          <w:rFonts w:hint="eastAsia" w:ascii="仿宋_GB2312" w:hAnsi="仿宋_GB2312" w:eastAsia="仿宋_GB2312" w:cs="仿宋_GB2312"/>
          <w:color w:val="auto"/>
          <w:spacing w:val="0"/>
          <w:sz w:val="32"/>
          <w:szCs w:val="32"/>
          <w:highlight w:val="none"/>
          <w:u w:val="none"/>
          <w:lang w:val="en-US" w:eastAsia="zh-CN"/>
        </w:rPr>
        <w:t>和</w:t>
      </w:r>
      <w:r>
        <w:rPr>
          <w:rFonts w:hint="eastAsia" w:ascii="仿宋_GB2312" w:hAnsi="仿宋_GB2312" w:eastAsia="仿宋_GB2312" w:cs="仿宋_GB2312"/>
          <w:color w:val="auto"/>
          <w:spacing w:val="0"/>
          <w:sz w:val="32"/>
          <w:szCs w:val="32"/>
          <w:highlight w:val="none"/>
          <w:u w:val="none"/>
          <w:lang w:eastAsia="zh-CN"/>
        </w:rPr>
        <w:t>所在任期（或上一任期未兑现的）全部任期激励收入。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楷体" w:hAnsi="楷体" w:eastAsia="楷体" w:cs="楷体"/>
          <w:b w:val="0"/>
          <w:sz w:val="32"/>
          <w:szCs w:val="32"/>
          <w:lang w:val="en-US" w:eastAsia="zh-CN"/>
        </w:rPr>
      </w:pPr>
      <w:r>
        <w:rPr>
          <w:rStyle w:val="12"/>
          <w:rFonts w:hint="eastAsia" w:ascii="楷体" w:hAnsi="楷体" w:eastAsia="楷体" w:cs="楷体"/>
          <w:b w:val="0"/>
          <w:sz w:val="32"/>
          <w:szCs w:val="32"/>
          <w:lang w:val="en-US" w:eastAsia="zh-CN"/>
        </w:rPr>
        <w:t>（三）司法追究</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受到司法责任追究的，自司法责任追究之月起，停止发放基本薪酬、绩效薪酬和任期激励收入。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楷体" w:hAnsi="楷体" w:eastAsia="楷体" w:cs="楷体"/>
          <w:b w:val="0"/>
          <w:sz w:val="32"/>
          <w:szCs w:val="32"/>
          <w:lang w:val="en-US" w:eastAsia="zh-CN"/>
        </w:rPr>
      </w:pPr>
      <w:r>
        <w:rPr>
          <w:rStyle w:val="12"/>
          <w:rFonts w:hint="eastAsia" w:ascii="楷体" w:hAnsi="楷体" w:eastAsia="楷体" w:cs="楷体"/>
          <w:b w:val="0"/>
          <w:sz w:val="32"/>
          <w:szCs w:val="32"/>
          <w:lang w:val="en-US" w:eastAsia="zh-CN"/>
        </w:rPr>
        <w:t>（四）其他情形</w:t>
      </w:r>
    </w:p>
    <w:p>
      <w:pPr>
        <w:keepNext w:val="0"/>
        <w:keepLines w:val="0"/>
        <w:pageBreakBefore w:val="0"/>
        <w:widowControl w:val="0"/>
        <w:kinsoku/>
        <w:wordWrap/>
        <w:overflowPunct w:val="0"/>
        <w:topLinePunct w:val="0"/>
        <w:autoSpaceDE/>
        <w:autoSpaceDN/>
        <w:bidi w:val="0"/>
        <w:adjustRightInd/>
        <w:snapToGrid/>
        <w:spacing w:line="540" w:lineRule="exact"/>
        <w:ind w:firstLine="619" w:firstLineChars="200"/>
        <w:textAlignment w:val="auto"/>
        <w:rPr>
          <w:rFonts w:hint="eastAsia" w:ascii="仿宋_GB2312" w:hAnsi="仿宋_GB2312" w:eastAsia="仿宋_GB2312" w:cs="仿宋_GB2312"/>
          <w:color w:val="auto"/>
          <w:spacing w:val="-6"/>
          <w:sz w:val="32"/>
          <w:szCs w:val="32"/>
          <w:highlight w:val="none"/>
          <w:u w:val="none"/>
          <w:lang w:val="en-US" w:eastAsia="zh-CN"/>
        </w:rPr>
      </w:pPr>
      <w:r>
        <w:rPr>
          <w:rFonts w:hint="eastAsia" w:ascii="仿宋_GB2312" w:hAnsi="仿宋_GB2312" w:eastAsia="仿宋_GB2312" w:cs="仿宋_GB2312"/>
          <w:b/>
          <w:bCs/>
          <w:color w:val="auto"/>
          <w:spacing w:val="-6"/>
          <w:sz w:val="32"/>
          <w:szCs w:val="32"/>
          <w:highlight w:val="none"/>
          <w:u w:val="none"/>
          <w:lang w:val="en-US" w:eastAsia="zh-CN"/>
        </w:rPr>
        <w:t>1.超提超发工资总额。</w:t>
      </w:r>
      <w:r>
        <w:rPr>
          <w:rFonts w:hint="eastAsia" w:ascii="仿宋_GB2312" w:hAnsi="仿宋_GB2312" w:eastAsia="仿宋_GB2312" w:cs="仿宋_GB2312"/>
          <w:color w:val="auto"/>
          <w:spacing w:val="-6"/>
          <w:sz w:val="32"/>
          <w:szCs w:val="32"/>
          <w:highlight w:val="none"/>
          <w:u w:val="none"/>
          <w:lang w:val="en-US" w:eastAsia="zh-CN"/>
        </w:rPr>
        <w:t>企业超提超发工资总额的，按照奎屯市国资局监管企业工资总额管理办法有关规定追索扣回其薪酬。</w:t>
      </w:r>
    </w:p>
    <w:p>
      <w:pPr>
        <w:keepNext w:val="0"/>
        <w:keepLines w:val="0"/>
        <w:pageBreakBefore w:val="0"/>
        <w:widowControl w:val="0"/>
        <w:kinsoku/>
        <w:wordWrap/>
        <w:overflowPunct w:val="0"/>
        <w:topLinePunct w:val="0"/>
        <w:autoSpaceDE/>
        <w:autoSpaceDN/>
        <w:bidi w:val="0"/>
        <w:adjustRightInd/>
        <w:snapToGrid/>
        <w:spacing w:line="540" w:lineRule="exact"/>
        <w:ind w:firstLine="619" w:firstLineChars="200"/>
        <w:textAlignment w:val="auto"/>
        <w:rPr>
          <w:rFonts w:hint="eastAsia" w:ascii="仿宋_GB2312" w:hAnsi="仿宋_GB2312" w:eastAsia="仿宋_GB2312" w:cs="仿宋_GB2312"/>
          <w:color w:val="auto"/>
          <w:spacing w:val="-6"/>
          <w:sz w:val="32"/>
          <w:szCs w:val="32"/>
          <w:highlight w:val="none"/>
          <w:u w:val="none"/>
          <w:lang w:val="en-US" w:eastAsia="zh-CN"/>
        </w:rPr>
      </w:pPr>
      <w:r>
        <w:rPr>
          <w:rFonts w:hint="eastAsia" w:ascii="仿宋_GB2312" w:hAnsi="仿宋_GB2312" w:eastAsia="仿宋_GB2312" w:cs="仿宋_GB2312"/>
          <w:b/>
          <w:bCs/>
          <w:color w:val="auto"/>
          <w:spacing w:val="-6"/>
          <w:sz w:val="32"/>
          <w:szCs w:val="32"/>
          <w:highlight w:val="none"/>
          <w:u w:val="none"/>
          <w:lang w:val="en-US" w:eastAsia="zh-CN"/>
        </w:rPr>
        <w:t>2.违规集体决策。</w:t>
      </w:r>
      <w:r>
        <w:rPr>
          <w:rFonts w:hint="eastAsia" w:ascii="仿宋_GB2312" w:hAnsi="仿宋_GB2312" w:eastAsia="仿宋_GB2312" w:cs="仿宋_GB2312"/>
          <w:color w:val="auto"/>
          <w:spacing w:val="-6"/>
          <w:sz w:val="32"/>
          <w:szCs w:val="32"/>
          <w:highlight w:val="none"/>
          <w:u w:val="none"/>
          <w:lang w:val="en-US" w:eastAsia="zh-CN"/>
        </w:rPr>
        <w:t>企业党委（党组）集体作出违规违纪违法的决定或实施违规违纪违法行为的，对具有共同故意或过失的企业负责人，按照其受到处分的情形，追索扣回其薪酬。</w:t>
      </w:r>
    </w:p>
    <w:p>
      <w:pPr>
        <w:keepNext w:val="0"/>
        <w:keepLines w:val="0"/>
        <w:pageBreakBefore w:val="0"/>
        <w:widowControl w:val="0"/>
        <w:kinsoku/>
        <w:wordWrap/>
        <w:overflowPunct w:val="0"/>
        <w:topLinePunct w:val="0"/>
        <w:autoSpaceDE/>
        <w:autoSpaceDN/>
        <w:bidi w:val="0"/>
        <w:adjustRightInd/>
        <w:snapToGrid/>
        <w:spacing w:line="540" w:lineRule="exact"/>
        <w:ind w:firstLine="619" w:firstLineChars="200"/>
        <w:textAlignment w:val="auto"/>
        <w:rPr>
          <w:rFonts w:hint="eastAsia" w:ascii="仿宋_GB2312" w:hAnsi="仿宋_GB2312" w:eastAsia="仿宋_GB2312" w:cs="仿宋_GB2312"/>
          <w:color w:val="auto"/>
          <w:spacing w:val="-6"/>
          <w:sz w:val="32"/>
          <w:szCs w:val="32"/>
          <w:highlight w:val="none"/>
          <w:u w:val="none"/>
          <w:lang w:val="en-US" w:eastAsia="zh-CN"/>
        </w:rPr>
      </w:pPr>
      <w:r>
        <w:rPr>
          <w:rFonts w:hint="eastAsia" w:ascii="仿宋_GB2312" w:hAnsi="仿宋_GB2312" w:eastAsia="仿宋_GB2312" w:cs="仿宋_GB2312"/>
          <w:b/>
          <w:bCs/>
          <w:color w:val="auto"/>
          <w:spacing w:val="-6"/>
          <w:sz w:val="32"/>
          <w:szCs w:val="32"/>
          <w:highlight w:val="none"/>
          <w:u w:val="none"/>
          <w:lang w:val="en-US" w:eastAsia="zh-CN"/>
        </w:rPr>
        <w:t>3.处于调查期间。</w:t>
      </w:r>
      <w:r>
        <w:rPr>
          <w:rFonts w:hint="eastAsia" w:ascii="仿宋_GB2312" w:hAnsi="仿宋_GB2312" w:eastAsia="仿宋_GB2312" w:cs="仿宋_GB2312"/>
          <w:color w:val="auto"/>
          <w:spacing w:val="-6"/>
          <w:sz w:val="32"/>
          <w:szCs w:val="32"/>
          <w:highlight w:val="none"/>
          <w:u w:val="none"/>
          <w:lang w:val="en-US" w:eastAsia="zh-CN"/>
        </w:rPr>
        <w:t>企业负责人处于纪检监察机关或司法机关调查期间的，按照国家有关规定，停止或暂缓支付其薪酬。对企业负责人因同一事项受到党纪、政务、组织处理、司法追究等多种处分的，其薪酬追索扣回按最高标准执行。对司法机关或有关部门给予了罚款处理的，追索扣回薪酬时扣除罚款数额。薪酬追索扣回适用于已离职或退休的企业负责人。</w:t>
      </w:r>
    </w:p>
    <w:p>
      <w:pPr>
        <w:keepNext w:val="0"/>
        <w:keepLines w:val="0"/>
        <w:pageBreakBefore w:val="0"/>
        <w:widowControl w:val="0"/>
        <w:kinsoku/>
        <w:wordWrap/>
        <w:overflowPunct w:val="0"/>
        <w:topLinePunct w:val="0"/>
        <w:autoSpaceDE/>
        <w:autoSpaceDN/>
        <w:bidi w:val="0"/>
        <w:adjustRightInd/>
        <w:snapToGrid/>
        <w:spacing w:line="540" w:lineRule="exact"/>
        <w:ind w:firstLine="619" w:firstLineChars="200"/>
        <w:textAlignment w:val="auto"/>
        <w:rPr>
          <w:rFonts w:hint="eastAsia" w:ascii="仿宋_GB2312" w:hAnsi="仿宋_GB2312" w:eastAsia="仿宋_GB2312" w:cs="仿宋_GB2312"/>
          <w:b/>
          <w:bCs/>
          <w:color w:val="auto"/>
          <w:spacing w:val="-6"/>
          <w:sz w:val="32"/>
          <w:szCs w:val="32"/>
          <w:highlight w:val="none"/>
          <w:u w:val="none"/>
          <w:lang w:val="en-US" w:eastAsia="zh-CN"/>
        </w:rPr>
      </w:pPr>
      <w:r>
        <w:rPr>
          <w:rFonts w:hint="eastAsia" w:ascii="仿宋_GB2312" w:hAnsi="仿宋_GB2312" w:eastAsia="仿宋_GB2312" w:cs="仿宋_GB2312"/>
          <w:b/>
          <w:bCs/>
          <w:color w:val="auto"/>
          <w:spacing w:val="-6"/>
          <w:sz w:val="32"/>
          <w:szCs w:val="32"/>
          <w:highlight w:val="none"/>
          <w:u w:val="none"/>
          <w:lang w:val="en-US" w:eastAsia="zh-CN"/>
        </w:rPr>
        <w:t>4.法律法规如有规定其他追索扣回情形的，从其规定。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0"/>
          <w:sz w:val="36"/>
          <w:szCs w:val="36"/>
          <w:highlight w:val="none"/>
          <w:u w:val="none"/>
          <w:lang w:val="en-US" w:eastAsia="zh-CN"/>
        </w:rPr>
      </w:pPr>
      <w:r>
        <w:rPr>
          <w:rFonts w:hint="default" w:ascii="Times New Roman" w:hAnsi="Times New Roman" w:eastAsia="黑体" w:cs="Times New Roman"/>
          <w:color w:val="auto"/>
          <w:spacing w:val="0"/>
          <w:sz w:val="36"/>
          <w:szCs w:val="36"/>
          <w:highlight w:val="none"/>
          <w:u w:val="none"/>
          <w:lang w:eastAsia="zh-CN"/>
        </w:rPr>
        <w:t>第</w:t>
      </w:r>
      <w:r>
        <w:rPr>
          <w:rFonts w:hint="default" w:ascii="Times New Roman" w:hAnsi="Times New Roman" w:eastAsia="黑体" w:cs="Times New Roman"/>
          <w:color w:val="auto"/>
          <w:spacing w:val="0"/>
          <w:sz w:val="36"/>
          <w:szCs w:val="36"/>
          <w:highlight w:val="none"/>
          <w:u w:val="none"/>
          <w:lang w:val="en-US" w:eastAsia="zh-CN"/>
        </w:rPr>
        <w:t>五</w:t>
      </w:r>
      <w:r>
        <w:rPr>
          <w:rFonts w:hint="default" w:ascii="Times New Roman" w:hAnsi="Times New Roman" w:eastAsia="黑体" w:cs="Times New Roman"/>
          <w:color w:val="auto"/>
          <w:spacing w:val="0"/>
          <w:sz w:val="36"/>
          <w:szCs w:val="36"/>
          <w:highlight w:val="none"/>
          <w:u w:val="none"/>
          <w:lang w:eastAsia="zh-CN"/>
        </w:rPr>
        <w:t>章  薪酬</w:t>
      </w:r>
      <w:r>
        <w:rPr>
          <w:rFonts w:hint="default" w:ascii="Times New Roman" w:hAnsi="Times New Roman" w:eastAsia="黑体" w:cs="Times New Roman"/>
          <w:color w:val="auto"/>
          <w:spacing w:val="0"/>
          <w:sz w:val="36"/>
          <w:szCs w:val="36"/>
          <w:highlight w:val="none"/>
          <w:u w:val="none"/>
          <w:lang w:val="en-US" w:eastAsia="zh-CN"/>
        </w:rPr>
        <w:t>监督</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二十五</w:t>
      </w:r>
      <w:r>
        <w:rPr>
          <w:rStyle w:val="12"/>
          <w:rFonts w:hint="eastAsia" w:ascii="楷体" w:hAnsi="楷体" w:eastAsia="楷体" w:cs="楷体"/>
          <w:b w:val="0"/>
          <w:sz w:val="32"/>
          <w:szCs w:val="32"/>
          <w:lang w:eastAsia="zh-CN"/>
        </w:rPr>
        <w:t>条</w:t>
      </w:r>
      <w:r>
        <w:rPr>
          <w:rFonts w:hint="eastAsia" w:ascii="仿宋_GB2312" w:hAnsi="仿宋_GB2312" w:eastAsia="仿宋_GB2312" w:cs="仿宋_GB2312"/>
          <w:color w:val="auto"/>
          <w:spacing w:val="0"/>
          <w:sz w:val="32"/>
          <w:szCs w:val="32"/>
          <w:highlight w:val="none"/>
          <w:u w:val="none"/>
          <w:lang w:eastAsia="zh-CN"/>
        </w:rPr>
        <w:t xml:space="preserve"> 企业应健全内部监督机制，根据国资局确定的考核结果兑现薪酬，并将企业负责人薪酬水平、福利待遇等纳入企业公开范围，接受职工民主监督。</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二十六</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企业负责人违反规定自定薪酬、兼职取薪、超发薪酬、超标准享受福利性待遇等行为，扣回或追索扣回违规所得收入，并按照有关规定，给予党纪</w:t>
      </w:r>
      <w:r>
        <w:rPr>
          <w:rFonts w:hint="eastAsia" w:ascii="仿宋_GB2312" w:hAnsi="仿宋_GB2312" w:eastAsia="仿宋_GB2312" w:cs="仿宋_GB2312"/>
          <w:color w:val="auto"/>
          <w:spacing w:val="0"/>
          <w:sz w:val="32"/>
          <w:szCs w:val="32"/>
          <w:highlight w:val="none"/>
          <w:u w:val="none"/>
          <w:lang w:val="en-US" w:eastAsia="zh-CN"/>
        </w:rPr>
        <w:t>政务</w:t>
      </w:r>
      <w:r>
        <w:rPr>
          <w:rFonts w:hint="eastAsia" w:ascii="仿宋_GB2312" w:hAnsi="仿宋_GB2312" w:eastAsia="仿宋_GB2312" w:cs="仿宋_GB2312"/>
          <w:color w:val="auto"/>
          <w:spacing w:val="0"/>
          <w:sz w:val="32"/>
          <w:szCs w:val="32"/>
          <w:highlight w:val="none"/>
          <w:u w:val="none"/>
          <w:lang w:eastAsia="zh-CN"/>
        </w:rPr>
        <w:t>处分或组织处理。</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第二十</w:t>
      </w:r>
      <w:r>
        <w:rPr>
          <w:rStyle w:val="12"/>
          <w:rFonts w:hint="eastAsia" w:ascii="楷体" w:hAnsi="楷体" w:eastAsia="楷体" w:cs="楷体"/>
          <w:b w:val="0"/>
          <w:sz w:val="32"/>
          <w:szCs w:val="32"/>
          <w:lang w:val="en-US" w:eastAsia="zh-CN"/>
        </w:rPr>
        <w:t>七</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企业要按照分级管理要求，</w:t>
      </w:r>
      <w:r>
        <w:rPr>
          <w:rFonts w:hint="eastAsia" w:ascii="仿宋_GB2312" w:hAnsi="仿宋_GB2312" w:eastAsia="仿宋_GB2312" w:cs="仿宋_GB2312"/>
          <w:color w:val="auto"/>
          <w:spacing w:val="0"/>
          <w:sz w:val="32"/>
          <w:szCs w:val="32"/>
          <w:highlight w:val="none"/>
          <w:u w:val="none"/>
          <w:lang w:val="en-US" w:eastAsia="zh-CN"/>
        </w:rPr>
        <w:t>完善内部薪酬分配机制，统筹处理好不同层级、不同群体间的分配关系，合理确定职工工资水平和增速，调控不合理过高收入。企业要系统制定子企业负责人薪酬管理制度，明确各层级企业负责人、中层管理人员与其他职工薪酬分配的倍数关系，严格规范中层管理人员薪酬分配，防止与企业负责人薪酬不合理“倒挂”。</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二十八</w:t>
      </w:r>
      <w:r>
        <w:rPr>
          <w:rStyle w:val="12"/>
          <w:rFonts w:hint="eastAsia" w:ascii="楷体" w:hAnsi="楷体" w:eastAsia="楷体" w:cs="楷体"/>
          <w:b w:val="0"/>
          <w:sz w:val="32"/>
          <w:szCs w:val="32"/>
          <w:lang w:eastAsia="zh-CN"/>
        </w:rPr>
        <w:t>条</w:t>
      </w:r>
      <w:r>
        <w:rPr>
          <w:rStyle w:val="12"/>
          <w:rFonts w:hint="eastAsia" w:ascii="楷体" w:hAnsi="楷体" w:eastAsia="楷体" w:cs="楷体"/>
          <w:b w:val="0"/>
          <w:sz w:val="32"/>
          <w:szCs w:val="32"/>
          <w:lang w:val="en-US" w:eastAsia="zh-CN"/>
        </w:rPr>
        <w:t xml:space="preserve"> </w:t>
      </w:r>
      <w:r>
        <w:rPr>
          <w:rFonts w:hint="eastAsia" w:ascii="仿宋_GB2312" w:hAnsi="仿宋_GB2312" w:eastAsia="仿宋_GB2312" w:cs="仿宋_GB2312"/>
          <w:b/>
          <w:bCs/>
          <w:color w:val="auto"/>
          <w:spacing w:val="0"/>
          <w:sz w:val="32"/>
          <w:szCs w:val="32"/>
          <w:highlight w:val="none"/>
          <w:u w:val="none"/>
          <w:lang w:val="en-US" w:eastAsia="zh-CN"/>
        </w:rPr>
        <w:t xml:space="preserve"> </w:t>
      </w:r>
      <w:r>
        <w:rPr>
          <w:rFonts w:hint="eastAsia" w:ascii="仿宋_GB2312" w:hAnsi="仿宋_GB2312" w:eastAsia="仿宋_GB2312" w:cs="仿宋_GB2312"/>
          <w:color w:val="auto"/>
          <w:spacing w:val="0"/>
          <w:sz w:val="32"/>
          <w:szCs w:val="32"/>
          <w:highlight w:val="none"/>
          <w:u w:val="none"/>
          <w:lang w:val="en-US" w:eastAsia="zh-CN"/>
        </w:rPr>
        <w:t>企业要</w:t>
      </w:r>
      <w:r>
        <w:rPr>
          <w:rFonts w:hint="eastAsia" w:ascii="仿宋_GB2312" w:hAnsi="仿宋_GB2312" w:eastAsia="仿宋_GB2312" w:cs="仿宋_GB2312"/>
          <w:color w:val="auto"/>
          <w:spacing w:val="0"/>
          <w:sz w:val="32"/>
          <w:szCs w:val="32"/>
          <w:highlight w:val="none"/>
          <w:u w:val="none"/>
          <w:lang w:eastAsia="zh-CN"/>
        </w:rPr>
        <w:t>充分发挥董事会下设审计委员会在企业党委对负责人薪酬分配方案前置研究，董事会对经理层薪酬审议，经理层对中层管理人员薪酬分配及考核等事项的内部审计监督治理作用。</w:t>
      </w:r>
      <w:r>
        <w:rPr>
          <w:rFonts w:hint="eastAsia" w:ascii="仿宋_GB2312" w:hAnsi="仿宋_GB2312" w:eastAsia="仿宋_GB2312" w:cs="仿宋_GB2312"/>
          <w:color w:val="auto"/>
          <w:spacing w:val="0"/>
          <w:sz w:val="32"/>
          <w:szCs w:val="32"/>
          <w:highlight w:val="none"/>
          <w:u w:val="none"/>
          <w:lang w:val="en-US" w:eastAsia="zh-CN"/>
        </w:rPr>
        <w:t>要</w:t>
      </w:r>
      <w:r>
        <w:rPr>
          <w:rFonts w:hint="eastAsia" w:ascii="仿宋_GB2312" w:hAnsi="仿宋_GB2312" w:eastAsia="仿宋_GB2312" w:cs="仿宋_GB2312"/>
          <w:color w:val="auto"/>
          <w:spacing w:val="0"/>
          <w:sz w:val="32"/>
          <w:szCs w:val="32"/>
          <w:highlight w:val="none"/>
          <w:u w:val="none"/>
          <w:lang w:eastAsia="zh-CN"/>
        </w:rPr>
        <w:t>统筹财务、法务、纪检、</w:t>
      </w:r>
      <w:r>
        <w:rPr>
          <w:rFonts w:hint="eastAsia" w:ascii="仿宋_GB2312" w:hAnsi="仿宋_GB2312" w:eastAsia="仿宋_GB2312" w:cs="仿宋_GB2312"/>
          <w:color w:val="auto"/>
          <w:spacing w:val="0"/>
          <w:sz w:val="32"/>
          <w:szCs w:val="32"/>
          <w:highlight w:val="none"/>
          <w:u w:val="none"/>
          <w:lang w:val="en-US" w:eastAsia="zh-CN"/>
        </w:rPr>
        <w:t>内部</w:t>
      </w:r>
      <w:r>
        <w:rPr>
          <w:rFonts w:hint="eastAsia" w:ascii="仿宋_GB2312" w:hAnsi="仿宋_GB2312" w:eastAsia="仿宋_GB2312" w:cs="仿宋_GB2312"/>
          <w:color w:val="auto"/>
          <w:spacing w:val="0"/>
          <w:sz w:val="32"/>
          <w:szCs w:val="32"/>
          <w:highlight w:val="none"/>
          <w:u w:val="none"/>
          <w:lang w:eastAsia="zh-CN"/>
        </w:rPr>
        <w:t>审计等监督力量，加强对内部收入分配管理监督检查，规范收入分配秩序。国资局通过日常检查、专项检查等方式，对企业收入分配管理关键事项、关键环节、关键节点加强监督。</w:t>
      </w:r>
    </w:p>
    <w:p>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0"/>
          <w:sz w:val="36"/>
          <w:szCs w:val="36"/>
          <w:highlight w:val="none"/>
          <w:u w:val="none"/>
          <w:lang w:eastAsia="zh-CN"/>
        </w:rPr>
      </w:pPr>
      <w:r>
        <w:rPr>
          <w:rFonts w:hint="default" w:ascii="Times New Roman" w:hAnsi="Times New Roman" w:eastAsia="黑体" w:cs="Times New Roman"/>
          <w:color w:val="auto"/>
          <w:spacing w:val="0"/>
          <w:sz w:val="36"/>
          <w:szCs w:val="36"/>
          <w:highlight w:val="none"/>
          <w:u w:val="none"/>
          <w:lang w:eastAsia="zh-CN"/>
        </w:rPr>
        <w:t>第六章  附</w:t>
      </w:r>
      <w:r>
        <w:rPr>
          <w:rFonts w:hint="default" w:ascii="Times New Roman" w:hAnsi="Times New Roman" w:eastAsia="黑体" w:cs="Times New Roman"/>
          <w:color w:val="auto"/>
          <w:spacing w:val="0"/>
          <w:sz w:val="36"/>
          <w:szCs w:val="36"/>
          <w:highlight w:val="none"/>
          <w:u w:val="none"/>
          <w:lang w:val="en-US" w:eastAsia="zh-CN"/>
        </w:rPr>
        <w:t xml:space="preserve">  </w:t>
      </w:r>
      <w:r>
        <w:rPr>
          <w:rFonts w:hint="default" w:ascii="Times New Roman" w:hAnsi="Times New Roman" w:eastAsia="黑体" w:cs="Times New Roman"/>
          <w:color w:val="auto"/>
          <w:spacing w:val="0"/>
          <w:sz w:val="36"/>
          <w:szCs w:val="36"/>
          <w:highlight w:val="none"/>
          <w:u w:val="none"/>
          <w:lang w:eastAsia="zh-CN"/>
        </w:rPr>
        <w:t>则</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二十九</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建立规范董事会的企业，经国资局授权，按照本办法及相关规定，完善经理层人员薪酬管理制度，合理确定薪酬水平</w:t>
      </w:r>
      <w:r>
        <w:rPr>
          <w:rFonts w:hint="eastAsia" w:ascii="仿宋_GB2312" w:hAnsi="仿宋_GB2312" w:eastAsia="仿宋_GB2312" w:cs="仿宋_GB2312"/>
          <w:b/>
          <w:bCs/>
          <w:i/>
          <w:iCs/>
          <w:color w:val="auto"/>
          <w:spacing w:val="0"/>
          <w:sz w:val="32"/>
          <w:szCs w:val="32"/>
          <w:highlight w:val="none"/>
          <w:u w:val="single"/>
          <w:lang w:eastAsia="zh-CN"/>
        </w:rPr>
        <w:t>。</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三十</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 xml:space="preserve"> 职业经理人的薪酬结构和水平，由董事会按照市场化薪酬分配机制确定</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报国资局备案</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val="en-US" w:eastAsia="zh-CN"/>
        </w:rPr>
        <w:t>企业</w:t>
      </w:r>
      <w:r>
        <w:rPr>
          <w:rFonts w:hint="eastAsia" w:ascii="仿宋_GB2312" w:hAnsi="仿宋_GB2312" w:eastAsia="仿宋_GB2312" w:cs="仿宋_GB2312"/>
          <w:color w:val="auto"/>
          <w:spacing w:val="0"/>
          <w:sz w:val="32"/>
          <w:szCs w:val="32"/>
          <w:highlight w:val="none"/>
          <w:u w:val="none"/>
          <w:lang w:eastAsia="zh-CN"/>
        </w:rPr>
        <w:t>对职业经理人实行契约化管理，加强和完善业绩考核，建立健全退出机制。</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三十一</w:t>
      </w:r>
      <w:r>
        <w:rPr>
          <w:rStyle w:val="12"/>
          <w:rFonts w:hint="eastAsia" w:ascii="楷体" w:hAnsi="楷体" w:eastAsia="楷体" w:cs="楷体"/>
          <w:b w:val="0"/>
          <w:sz w:val="32"/>
          <w:szCs w:val="32"/>
          <w:lang w:eastAsia="zh-CN"/>
        </w:rPr>
        <w:t>条</w:t>
      </w:r>
      <w:r>
        <w:rPr>
          <w:rFonts w:hint="eastAsia" w:ascii="楷体" w:hAnsi="楷体" w:eastAsia="楷体" w:cs="楷体"/>
          <w:color w:val="auto"/>
          <w:spacing w:val="0"/>
          <w:sz w:val="32"/>
          <w:szCs w:val="32"/>
          <w:highlight w:val="none"/>
          <w:u w:val="none"/>
          <w:lang w:eastAsia="zh-CN"/>
        </w:rPr>
        <w:t xml:space="preserve">  </w:t>
      </w:r>
      <w:r>
        <w:rPr>
          <w:rFonts w:hint="eastAsia" w:ascii="仿宋_GB2312" w:hAnsi="仿宋_GB2312" w:eastAsia="仿宋_GB2312" w:cs="仿宋_GB2312"/>
          <w:color w:val="auto"/>
          <w:spacing w:val="0"/>
          <w:sz w:val="32"/>
          <w:szCs w:val="32"/>
          <w:highlight w:val="none"/>
          <w:u w:val="none"/>
          <w:lang w:eastAsia="zh-CN"/>
        </w:rPr>
        <w:t>奎屯市财汇融资担保有限责任公司执行金融类国有企业薪酬相关规定，无相关规定的按照本办法执行。</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三十二</w:t>
      </w:r>
      <w:r>
        <w:rPr>
          <w:rStyle w:val="12"/>
          <w:rFonts w:hint="eastAsia" w:ascii="楷体" w:hAnsi="楷体" w:eastAsia="楷体" w:cs="楷体"/>
          <w:b w:val="0"/>
          <w:sz w:val="32"/>
          <w:szCs w:val="32"/>
          <w:lang w:eastAsia="zh-CN"/>
        </w:rPr>
        <w:t>条</w:t>
      </w:r>
      <w:r>
        <w:rPr>
          <w:rStyle w:val="12"/>
          <w:rFonts w:hint="eastAsia" w:ascii="楷体" w:hAnsi="楷体" w:eastAsia="楷体" w:cs="楷体"/>
          <w:b w:val="0"/>
          <w:sz w:val="32"/>
          <w:szCs w:val="32"/>
          <w:lang w:val="en-US" w:eastAsia="zh-CN"/>
        </w:rPr>
        <w:t xml:space="preserve">  </w:t>
      </w:r>
      <w:r>
        <w:rPr>
          <w:rFonts w:hint="eastAsia" w:ascii="仿宋_GB2312" w:hAnsi="仿宋_GB2312" w:eastAsia="仿宋_GB2312" w:cs="仿宋_GB2312"/>
          <w:color w:val="auto"/>
          <w:spacing w:val="0"/>
          <w:sz w:val="32"/>
          <w:szCs w:val="32"/>
          <w:highlight w:val="none"/>
          <w:u w:val="none"/>
          <w:lang w:val="en-US" w:eastAsia="zh-CN"/>
        </w:rPr>
        <w:t>国资局根据实际情况适时对奎屯市市属国有企业功能界定和分类进行调整确定并公布。</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Style w:val="12"/>
          <w:rFonts w:hint="eastAsia" w:ascii="楷体" w:hAnsi="楷体" w:eastAsia="楷体" w:cs="楷体"/>
          <w:b w:val="0"/>
          <w:bCs w:val="0"/>
          <w:i w:val="0"/>
          <w:iCs w:val="0"/>
          <w:sz w:val="32"/>
          <w:szCs w:val="32"/>
          <w:u w:val="none"/>
          <w:lang w:eastAsia="zh-CN"/>
        </w:rPr>
        <w:t>第</w:t>
      </w:r>
      <w:r>
        <w:rPr>
          <w:rStyle w:val="12"/>
          <w:rFonts w:hint="eastAsia" w:ascii="楷体" w:hAnsi="楷体" w:eastAsia="楷体" w:cs="楷体"/>
          <w:b w:val="0"/>
          <w:bCs w:val="0"/>
          <w:i w:val="0"/>
          <w:iCs w:val="0"/>
          <w:sz w:val="32"/>
          <w:szCs w:val="32"/>
          <w:u w:val="none"/>
          <w:lang w:val="en-US" w:eastAsia="zh-CN"/>
        </w:rPr>
        <w:t>三十三</w:t>
      </w:r>
      <w:r>
        <w:rPr>
          <w:rStyle w:val="12"/>
          <w:rFonts w:hint="eastAsia" w:ascii="楷体" w:hAnsi="楷体" w:eastAsia="楷体" w:cs="楷体"/>
          <w:b w:val="0"/>
          <w:bCs w:val="0"/>
          <w:i w:val="0"/>
          <w:iCs w:val="0"/>
          <w:sz w:val="32"/>
          <w:szCs w:val="32"/>
          <w:u w:val="none"/>
          <w:lang w:eastAsia="zh-CN"/>
        </w:rPr>
        <w:t>条</w:t>
      </w:r>
      <w:r>
        <w:rPr>
          <w:rFonts w:hint="eastAsia" w:ascii="楷体" w:hAnsi="楷体" w:eastAsia="楷体" w:cs="楷体"/>
          <w:b w:val="0"/>
          <w:bCs w:val="0"/>
          <w:i w:val="0"/>
          <w:iCs w:val="0"/>
          <w:color w:val="auto"/>
          <w:spacing w:val="-11"/>
          <w:sz w:val="32"/>
          <w:szCs w:val="32"/>
          <w:highlight w:val="none"/>
          <w:u w:val="none"/>
          <w:lang w:val="en-US" w:eastAsia="zh-CN"/>
        </w:rPr>
        <w:t xml:space="preserve"> </w:t>
      </w:r>
      <w:r>
        <w:rPr>
          <w:rFonts w:hint="eastAsia" w:ascii="仿宋_GB2312" w:hAnsi="仿宋_GB2312" w:eastAsia="仿宋_GB2312" w:cs="仿宋_GB2312"/>
          <w:b w:val="0"/>
          <w:bCs w:val="0"/>
          <w:i w:val="0"/>
          <w:iCs w:val="0"/>
          <w:color w:val="auto"/>
          <w:spacing w:val="-11"/>
          <w:sz w:val="32"/>
          <w:szCs w:val="32"/>
          <w:highlight w:val="none"/>
          <w:u w:val="none"/>
          <w:lang w:val="en-US" w:eastAsia="zh-CN"/>
        </w:rPr>
        <w:t xml:space="preserve"> </w:t>
      </w:r>
      <w:r>
        <w:rPr>
          <w:rFonts w:hint="eastAsia" w:ascii="仿宋_GB2312" w:hAnsi="仿宋_GB2312" w:eastAsia="仿宋_GB2312" w:cs="仿宋_GB2312"/>
          <w:b w:val="0"/>
          <w:bCs w:val="0"/>
          <w:i w:val="0"/>
          <w:iCs w:val="0"/>
          <w:color w:val="auto"/>
          <w:spacing w:val="0"/>
          <w:sz w:val="32"/>
          <w:szCs w:val="32"/>
          <w:highlight w:val="none"/>
          <w:u w:val="none"/>
          <w:lang w:eastAsia="zh-CN"/>
        </w:rPr>
        <w:t>本办法由奎屯市国资局负责解释。</w:t>
      </w:r>
      <w:r>
        <w:rPr>
          <w:rFonts w:hint="eastAsia" w:ascii="仿宋_GB2312" w:hAnsi="仿宋_GB2312" w:eastAsia="仿宋_GB2312" w:cs="仿宋_GB2312"/>
          <w:b w:val="0"/>
          <w:bCs w:val="0"/>
          <w:i w:val="0"/>
          <w:iCs w:val="0"/>
          <w:color w:val="auto"/>
          <w:spacing w:val="0"/>
          <w:sz w:val="32"/>
          <w:szCs w:val="32"/>
          <w:highlight w:val="none"/>
          <w:u w:val="none"/>
        </w:rPr>
        <w:t>现行</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奎屯市</w:t>
      </w:r>
      <w:r>
        <w:rPr>
          <w:rFonts w:hint="eastAsia" w:ascii="仿宋_GB2312" w:hAnsi="仿宋_GB2312" w:eastAsia="仿宋_GB2312" w:cs="仿宋_GB2312"/>
          <w:b w:val="0"/>
          <w:bCs w:val="0"/>
          <w:i w:val="0"/>
          <w:iCs w:val="0"/>
          <w:color w:val="auto"/>
          <w:spacing w:val="0"/>
          <w:sz w:val="32"/>
          <w:szCs w:val="32"/>
          <w:highlight w:val="none"/>
          <w:u w:val="none"/>
        </w:rPr>
        <w:t>国有企业负责人薪酬管理有关规定</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凡</w:t>
      </w:r>
      <w:r>
        <w:rPr>
          <w:rFonts w:hint="eastAsia" w:ascii="仿宋_GB2312" w:hAnsi="仿宋_GB2312" w:eastAsia="仿宋_GB2312" w:cs="仿宋_GB2312"/>
          <w:b w:val="0"/>
          <w:bCs w:val="0"/>
          <w:i w:val="0"/>
          <w:iCs w:val="0"/>
          <w:color w:val="auto"/>
          <w:spacing w:val="0"/>
          <w:sz w:val="32"/>
          <w:szCs w:val="32"/>
          <w:highlight w:val="none"/>
          <w:u w:val="none"/>
        </w:rPr>
        <w:t>与本</w:t>
      </w:r>
      <w:r>
        <w:rPr>
          <w:rFonts w:hint="eastAsia" w:ascii="仿宋_GB2312" w:hAnsi="仿宋_GB2312" w:eastAsia="仿宋_GB2312" w:cs="仿宋_GB2312"/>
          <w:b w:val="0"/>
          <w:bCs w:val="0"/>
          <w:i w:val="0"/>
          <w:iCs w:val="0"/>
          <w:color w:val="auto"/>
          <w:spacing w:val="0"/>
          <w:sz w:val="32"/>
          <w:szCs w:val="32"/>
          <w:highlight w:val="none"/>
          <w:u w:val="none"/>
          <w:lang w:eastAsia="zh-CN"/>
        </w:rPr>
        <w:t>办法</w:t>
      </w:r>
      <w:r>
        <w:rPr>
          <w:rFonts w:hint="eastAsia" w:ascii="仿宋_GB2312" w:hAnsi="仿宋_GB2312" w:eastAsia="仿宋_GB2312" w:cs="仿宋_GB2312"/>
          <w:b w:val="0"/>
          <w:bCs w:val="0"/>
          <w:i w:val="0"/>
          <w:iCs w:val="0"/>
          <w:color w:val="auto"/>
          <w:spacing w:val="0"/>
          <w:sz w:val="32"/>
          <w:szCs w:val="32"/>
          <w:highlight w:val="none"/>
          <w:u w:val="none"/>
        </w:rPr>
        <w:t>不一致的</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rPr>
        <w:t>按本</w:t>
      </w:r>
      <w:r>
        <w:rPr>
          <w:rFonts w:hint="eastAsia" w:ascii="仿宋_GB2312" w:hAnsi="仿宋_GB2312" w:eastAsia="仿宋_GB2312" w:cs="仿宋_GB2312"/>
          <w:b w:val="0"/>
          <w:bCs w:val="0"/>
          <w:i w:val="0"/>
          <w:iCs w:val="0"/>
          <w:color w:val="auto"/>
          <w:spacing w:val="0"/>
          <w:sz w:val="32"/>
          <w:szCs w:val="32"/>
          <w:highlight w:val="none"/>
          <w:u w:val="none"/>
          <w:lang w:eastAsia="zh-CN"/>
        </w:rPr>
        <w:t>办法</w:t>
      </w:r>
      <w:r>
        <w:rPr>
          <w:rFonts w:hint="eastAsia" w:ascii="仿宋_GB2312" w:hAnsi="仿宋_GB2312" w:eastAsia="仿宋_GB2312" w:cs="仿宋_GB2312"/>
          <w:b w:val="0"/>
          <w:bCs w:val="0"/>
          <w:i w:val="0"/>
          <w:iCs w:val="0"/>
          <w:color w:val="auto"/>
          <w:spacing w:val="0"/>
          <w:sz w:val="32"/>
          <w:szCs w:val="32"/>
          <w:highlight w:val="none"/>
          <w:u w:val="none"/>
        </w:rPr>
        <w:t>执行。</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11"/>
          <w:sz w:val="32"/>
          <w:szCs w:val="32"/>
          <w:highlight w:val="none"/>
          <w:u w:val="none"/>
          <w:lang w:val="en-US"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三十四</w:t>
      </w:r>
      <w:r>
        <w:rPr>
          <w:rStyle w:val="12"/>
          <w:rFonts w:hint="eastAsia" w:ascii="楷体" w:hAnsi="楷体" w:eastAsia="楷体" w:cs="楷体"/>
          <w:b w:val="0"/>
          <w:sz w:val="32"/>
          <w:szCs w:val="32"/>
          <w:lang w:eastAsia="zh-CN"/>
        </w:rPr>
        <w:t>条</w:t>
      </w:r>
      <w:r>
        <w:rPr>
          <w:rFonts w:hint="eastAsia" w:ascii="仿宋_GB2312" w:hAnsi="仿宋_GB2312" w:eastAsia="仿宋_GB2312" w:cs="仿宋_GB2312"/>
          <w:color w:val="auto"/>
          <w:spacing w:val="0"/>
          <w:sz w:val="32"/>
          <w:szCs w:val="32"/>
          <w:highlight w:val="none"/>
          <w:u w:val="none"/>
          <w:lang w:eastAsia="zh-CN"/>
        </w:rPr>
        <w:t xml:space="preserve">  </w:t>
      </w:r>
      <w:r>
        <w:rPr>
          <w:rFonts w:hint="eastAsia" w:ascii="仿宋_GB2312" w:hAnsi="仿宋_GB2312" w:eastAsia="仿宋_GB2312" w:cs="仿宋_GB2312"/>
          <w:color w:val="auto"/>
          <w:spacing w:val="-11"/>
          <w:sz w:val="32"/>
          <w:szCs w:val="32"/>
          <w:highlight w:val="none"/>
          <w:u w:val="none"/>
          <w:lang w:val="en-US" w:eastAsia="zh-CN"/>
        </w:rPr>
        <w:t>委托监管企业负责人薪酬管理依照本办法执行。</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Style w:val="12"/>
          <w:rFonts w:hint="eastAsia" w:ascii="楷体" w:hAnsi="楷体" w:eastAsia="楷体" w:cs="楷体"/>
          <w:b w:val="0"/>
          <w:sz w:val="32"/>
          <w:szCs w:val="32"/>
          <w:lang w:eastAsia="zh-CN"/>
        </w:rPr>
        <w:t>第</w:t>
      </w:r>
      <w:r>
        <w:rPr>
          <w:rStyle w:val="12"/>
          <w:rFonts w:hint="eastAsia" w:ascii="楷体" w:hAnsi="楷体" w:eastAsia="楷体" w:cs="楷体"/>
          <w:b w:val="0"/>
          <w:sz w:val="32"/>
          <w:szCs w:val="32"/>
          <w:lang w:val="en-US" w:eastAsia="zh-CN"/>
        </w:rPr>
        <w:t>三十五</w:t>
      </w:r>
      <w:r>
        <w:rPr>
          <w:rStyle w:val="12"/>
          <w:rFonts w:hint="eastAsia" w:ascii="楷体" w:hAnsi="楷体" w:eastAsia="楷体" w:cs="楷体"/>
          <w:b w:val="0"/>
          <w:sz w:val="32"/>
          <w:szCs w:val="32"/>
          <w:lang w:eastAsia="zh-CN"/>
        </w:rPr>
        <w:t>条</w:t>
      </w:r>
      <w:r>
        <w:rPr>
          <w:rFonts w:hint="eastAsia" w:ascii="仿宋_GB2312" w:hAnsi="仿宋_GB2312" w:eastAsia="仿宋_GB2312" w:cs="仿宋_GB2312"/>
          <w:color w:val="auto"/>
          <w:spacing w:val="0"/>
          <w:sz w:val="32"/>
          <w:szCs w:val="32"/>
          <w:highlight w:val="none"/>
          <w:u w:val="none"/>
          <w:lang w:eastAsia="zh-CN"/>
        </w:rPr>
        <w:t xml:space="preserve">  本办法自</w:t>
      </w:r>
      <w:r>
        <w:rPr>
          <w:rFonts w:hint="eastAsia" w:ascii="仿宋_GB2312" w:hAnsi="仿宋_GB2312" w:eastAsia="仿宋_GB2312" w:cs="仿宋_GB2312"/>
          <w:color w:val="auto"/>
          <w:spacing w:val="0"/>
          <w:sz w:val="32"/>
          <w:szCs w:val="32"/>
          <w:highlight w:val="none"/>
          <w:u w:val="none"/>
          <w:lang w:val="en-US" w:eastAsia="zh-CN"/>
        </w:rPr>
        <w:t>印发</w:t>
      </w:r>
      <w:r>
        <w:rPr>
          <w:rFonts w:hint="eastAsia" w:ascii="仿宋_GB2312" w:hAnsi="仿宋_GB2312" w:eastAsia="仿宋_GB2312" w:cs="仿宋_GB2312"/>
          <w:color w:val="auto"/>
          <w:spacing w:val="0"/>
          <w:sz w:val="32"/>
          <w:szCs w:val="32"/>
          <w:highlight w:val="none"/>
          <w:u w:val="none"/>
          <w:lang w:eastAsia="zh-CN"/>
        </w:rPr>
        <w:t>之日起施行。</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t>附件：</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1.奎屯市国有企业负责人固定薪酬制方案</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2.企业主要负责人基本薪酬调节系数表</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val="en-US" w:eastAsia="zh-CN"/>
        </w:rPr>
        <w:t>3.</w:t>
      </w:r>
      <w:r>
        <w:rPr>
          <w:rFonts w:hint="eastAsia" w:ascii="仿宋_GB2312" w:hAnsi="仿宋_GB2312" w:eastAsia="仿宋_GB2312" w:cs="仿宋_GB2312"/>
          <w:color w:val="auto"/>
          <w:spacing w:val="0"/>
          <w:sz w:val="32"/>
          <w:szCs w:val="32"/>
          <w:highlight w:val="none"/>
          <w:u w:val="none"/>
          <w:lang w:eastAsia="zh-CN"/>
        </w:rPr>
        <w:t>企业负责人绩效薪酬调节系数确定表</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sz w:val="36"/>
          <w:szCs w:val="28"/>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4.奎屯市国有企业功能界定及分类表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奎屯市</w:t>
      </w:r>
      <w:r>
        <w:rPr>
          <w:rFonts w:hint="eastAsia" w:ascii="方正小标宋简体" w:hAnsi="方正小标宋简体" w:eastAsia="方正小标宋简体" w:cs="方正小标宋简体"/>
          <w:sz w:val="44"/>
          <w:szCs w:val="44"/>
        </w:rPr>
        <w:t>国有企业负责人固定薪酬制方案</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本方案适用于承担</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委、政府专项任务、服务功能和政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策性较强、目前仍处于成长阶段或参与重大基础设施项目建设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的企业。此类企业资产规模和市场竞争能力有限，营业收入及业绩表现相对稳定。</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二、薪酬构成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实行固定薪酬制的企业负责人，薪酬分为基本薪酬、绩效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薪酬两部分。</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（一）主要负责人年度基本薪酬</w:t>
      </w:r>
      <w:r>
        <w:rPr>
          <w:rFonts w:hint="eastAsia" w:ascii="仿宋_GB2312" w:hAnsi="仿宋_GB2312" w:eastAsia="仿宋_GB2312" w:cs="仿宋_GB2312"/>
          <w:sz w:val="32"/>
          <w:szCs w:val="32"/>
        </w:rPr>
        <w:t>参照《</w:t>
      </w:r>
      <w:r>
        <w:rPr>
          <w:rFonts w:hint="eastAsia" w:ascii="仿宋_GB2312" w:hAnsi="仿宋_GB2312" w:eastAsia="仿宋_GB2312" w:cs="仿宋_GB2312"/>
          <w:sz w:val="32"/>
          <w:szCs w:val="32"/>
          <w:lang w:eastAsia="zh-CN"/>
        </w:rPr>
        <w:t>奎屯市</w:t>
      </w:r>
      <w:r>
        <w:rPr>
          <w:rFonts w:hint="eastAsia" w:ascii="仿宋_GB2312" w:hAnsi="仿宋_GB2312" w:eastAsia="仿宋_GB2312" w:cs="仿宋_GB2312"/>
          <w:sz w:val="32"/>
          <w:szCs w:val="32"/>
        </w:rPr>
        <w:t>国有企业负责人薪酬管理办法》中企业主要负责人基本薪酬设定，按月发放。</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（二）绩效薪酬实行限额管理。</w:t>
      </w:r>
      <w:r>
        <w:rPr>
          <w:rFonts w:hint="eastAsia" w:ascii="仿宋_GB2312" w:hAnsi="仿宋_GB2312" w:eastAsia="仿宋_GB2312" w:cs="仿宋_GB2312"/>
          <w:sz w:val="32"/>
          <w:szCs w:val="32"/>
        </w:rPr>
        <w:t>根据企业的不同特点和发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展阶段，对主要负责人的绩效薪酬进行明确的限额规定</w:t>
      </w:r>
      <w:r>
        <w:rPr>
          <w:rFonts w:hint="eastAsia" w:ascii="仿宋_GB2312" w:hAnsi="仿宋_GB2312" w:eastAsia="仿宋_GB2312" w:cs="仿宋_GB2312"/>
          <w:sz w:val="32"/>
          <w:szCs w:val="32"/>
          <w:lang w:eastAsia="zh-CN"/>
        </w:rPr>
        <w:t>，其企业类别根据上年度考核结果确定</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1.成长型企业。</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利润总额在</w:t>
      </w:r>
      <w:r>
        <w:rPr>
          <w:rFonts w:hint="eastAsia" w:ascii="仿宋_GB2312" w:hAnsi="仿宋_GB2312" w:eastAsia="仿宋_GB2312" w:cs="仿宋_GB2312"/>
          <w:sz w:val="32"/>
          <w:szCs w:val="32"/>
          <w:lang w:val="en-US" w:eastAsia="zh-CN"/>
        </w:rPr>
        <w:t>400万元以上，</w:t>
      </w:r>
      <w:r>
        <w:rPr>
          <w:rFonts w:hint="eastAsia" w:ascii="仿宋_GB2312" w:hAnsi="仿宋_GB2312" w:eastAsia="仿宋_GB2312" w:cs="仿宋_GB2312"/>
          <w:sz w:val="32"/>
          <w:szCs w:val="32"/>
        </w:rPr>
        <w:t>具有一定的发展潜力和效益增长空间、主营业务受市场影响波动较大的成长型企业，为激励企业负责人更好地应对市场波动，促进企业的持续健康发展，其主要负责人的绩效薪酬限定在1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万元以内。本年度绩效薪酬以限额50%即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万元按月预支付。</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2.服务型企业。</w:t>
      </w:r>
      <w:r>
        <w:rPr>
          <w:rFonts w:hint="eastAsia" w:ascii="仿宋_GB2312" w:hAnsi="仿宋_GB2312" w:eastAsia="仿宋_GB2312" w:cs="仿宋_GB2312"/>
          <w:sz w:val="32"/>
          <w:szCs w:val="32"/>
        </w:rPr>
        <w:t>对于服务功能性较强、发展稳定但效益增长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空间较低的服务型企业，考虑其业务的稳定性和盈利能力的局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限性，其主要负责人的绩效薪酬限定在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万元以内。本年度绩</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效薪酬以限额70%即</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万元按月预支付。</w:t>
      </w:r>
      <w:r>
        <w:rPr>
          <w:rFonts w:hint="eastAsia" w:ascii="仿宋_GB2312" w:hAnsi="仿宋_GB2312" w:eastAsia="仿宋_GB2312" w:cs="仿宋_GB2312"/>
          <w:sz w:val="32"/>
          <w:szCs w:val="32"/>
          <w:highlight w:val="none"/>
        </w:rPr>
        <w:t>按完成比例核定</w:t>
      </w:r>
      <w:r>
        <w:rPr>
          <w:rFonts w:hint="eastAsia" w:ascii="仿宋_GB2312" w:hAnsi="仿宋_GB2312" w:eastAsia="仿宋_GB2312" w:cs="仿宋_GB2312"/>
          <w:sz w:val="32"/>
          <w:szCs w:val="32"/>
          <w:highlight w:val="none"/>
          <w:lang w:eastAsia="zh-CN"/>
        </w:rPr>
        <w:t>绩效薪酬</w:t>
      </w:r>
      <w:r>
        <w:rPr>
          <w:rFonts w:hint="eastAsia" w:ascii="仿宋_GB2312" w:hAnsi="仿宋_GB2312" w:eastAsia="仿宋_GB2312" w:cs="仿宋_GB2312"/>
          <w:sz w:val="32"/>
          <w:szCs w:val="32"/>
          <w:highlight w:val="none"/>
        </w:rPr>
        <w:t>且不超过当年利润总额的50%。</w:t>
      </w:r>
    </w:p>
    <w:p>
      <w:pPr>
        <w:numPr>
          <w:ilvl w:val="-1"/>
          <w:numId w:val="0"/>
        </w:num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lang w:eastAsia="zh-CN"/>
        </w:rPr>
        <w:t>公益</w:t>
      </w:r>
      <w:r>
        <w:rPr>
          <w:rFonts w:hint="eastAsia" w:ascii="楷体" w:hAnsi="楷体" w:eastAsia="楷体" w:cs="楷体"/>
          <w:sz w:val="32"/>
          <w:szCs w:val="32"/>
        </w:rPr>
        <w:t>型企业。</w:t>
      </w:r>
      <w:r>
        <w:rPr>
          <w:rFonts w:hint="eastAsia" w:ascii="仿宋_GB2312" w:hAnsi="仿宋_GB2312" w:eastAsia="仿宋_GB2312" w:cs="仿宋_GB2312"/>
          <w:sz w:val="32"/>
          <w:szCs w:val="32"/>
        </w:rPr>
        <w:t>对提供社会公共服务和公共产品的公益类企业，以保障民生、服务社会、提供公共产品和服务为考核导向，重点考核产品服务质量、成本控制</w:t>
      </w:r>
      <w:r>
        <w:rPr>
          <w:rFonts w:hint="eastAsia" w:ascii="仿宋_GB2312" w:hAnsi="仿宋_GB2312" w:eastAsia="仿宋_GB2312" w:cs="仿宋_GB2312"/>
          <w:sz w:val="32"/>
          <w:szCs w:val="32"/>
          <w:highlight w:val="none"/>
        </w:rPr>
        <w:t>。其主要负责人的绩效薪酬限定在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万元以内。本年度绩效薪酬不予预支付。</w:t>
      </w:r>
    </w:p>
    <w:p>
      <w:pPr>
        <w:numPr>
          <w:ilvl w:val="-1"/>
          <w:numId w:val="0"/>
        </w:num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4.</w:t>
      </w:r>
      <w:r>
        <w:rPr>
          <w:rFonts w:hint="eastAsia" w:ascii="楷体" w:hAnsi="楷体" w:eastAsia="楷体" w:cs="楷体"/>
          <w:sz w:val="32"/>
          <w:szCs w:val="32"/>
        </w:rPr>
        <w:t>亏损企业。</w:t>
      </w:r>
      <w:r>
        <w:rPr>
          <w:rFonts w:hint="eastAsia" w:ascii="仿宋_GB2312" w:hAnsi="仿宋_GB2312" w:eastAsia="仿宋_GB2312" w:cs="仿宋_GB2312"/>
          <w:sz w:val="32"/>
          <w:szCs w:val="32"/>
        </w:rPr>
        <w:t>对于受政策或历史遗留问题等因素影响，短期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内仍将处于亏损状态的企业，考虑到企业实际经营状况，为保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证企业负责人的基本激励，鼓励其在困难时期仍能积极寻求改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善经营状况的途径，通过努力减亏的，其主要负责人的绩效薪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酬限定在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万元以内。本年度绩效薪酬不予预支付。亏损企业扭亏为盈，且当年实现利润总额的50%能够覆盖负责人按</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型企业限额领取的绩效薪酬总额，可按照</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型企业考核要求和绩效标准发放。</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（三）其他企业负责人</w:t>
      </w:r>
      <w:r>
        <w:rPr>
          <w:rFonts w:hint="eastAsia" w:ascii="仿宋_GB2312" w:hAnsi="仿宋_GB2312" w:eastAsia="仿宋_GB2312" w:cs="仿宋_GB2312"/>
          <w:sz w:val="32"/>
          <w:szCs w:val="32"/>
        </w:rPr>
        <w:t>基本薪酬和绩效薪酬，按所在企业主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要负责人基本薪酬和绩效薪酬的平均0.8倍确定。</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三、分类考核</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（一）指标设置及权重</w:t>
      </w:r>
    </w:p>
    <w:p>
      <w:pPr>
        <w:ind w:firstLine="643" w:firstLineChars="200"/>
        <w:rPr>
          <w:rFonts w:hint="eastAsia" w:ascii="仿宋_GB2312" w:hAnsi="仿宋_GB2312" w:eastAsia="仿宋_GB2312" w:cs="仿宋_GB2312"/>
          <w:b/>
          <w:bCs/>
          <w:sz w:val="32"/>
          <w:szCs w:val="32"/>
        </w:rPr>
      </w:pPr>
      <w:bookmarkStart w:id="4" w:name="OLE_LINK1"/>
      <w:r>
        <w:rPr>
          <w:rFonts w:hint="eastAsia" w:ascii="仿宋_GB2312" w:hAnsi="仿宋_GB2312" w:eastAsia="仿宋_GB2312" w:cs="仿宋_GB2312"/>
          <w:b/>
          <w:bCs/>
          <w:sz w:val="32"/>
          <w:szCs w:val="32"/>
        </w:rPr>
        <w:t>一企一策制定考核指标，</w:t>
      </w:r>
      <w:bookmarkEnd w:id="4"/>
      <w:r>
        <w:rPr>
          <w:rFonts w:hint="eastAsia" w:ascii="仿宋_GB2312" w:hAnsi="仿宋_GB2312" w:eastAsia="仿宋_GB2312" w:cs="仿宋_GB2312"/>
          <w:b/>
          <w:bCs/>
          <w:sz w:val="32"/>
          <w:szCs w:val="32"/>
        </w:rPr>
        <w:t>并根据企业发展阶段适时调整。</w:t>
      </w:r>
    </w:p>
    <w:p>
      <w:pPr>
        <w:ind w:firstLine="640" w:firstLineChars="200"/>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rPr>
        <w:t>1.成长型企业</w:t>
      </w:r>
      <w:r>
        <w:rPr>
          <w:rFonts w:hint="eastAsia" w:ascii="仿宋_GB2312" w:hAnsi="仿宋_GB2312" w:eastAsia="仿宋_GB2312" w:cs="仿宋_GB2312"/>
          <w:sz w:val="32"/>
          <w:szCs w:val="32"/>
          <w:highlight w:val="none"/>
        </w:rPr>
        <w:t>考核指标设置利润总额（50分）、净资产收</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益率（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0分）、党建指标（1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分）和重点工作任务指标（</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分）。</w:t>
      </w:r>
    </w:p>
    <w:p>
      <w:pPr>
        <w:ind w:firstLine="640" w:firstLineChars="200"/>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rPr>
        <w:t>2.服务型企业</w:t>
      </w:r>
      <w:r>
        <w:rPr>
          <w:rFonts w:hint="eastAsia" w:ascii="仿宋_GB2312" w:hAnsi="仿宋_GB2312" w:eastAsia="仿宋_GB2312" w:cs="仿宋_GB2312"/>
          <w:sz w:val="32"/>
          <w:szCs w:val="32"/>
          <w:highlight w:val="none"/>
        </w:rPr>
        <w:t>考核指标设置利润总额（</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0分）、营业收入</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利润率（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0分）、党建指标（1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分）和重点工作任务指标（</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分）。</w:t>
      </w:r>
    </w:p>
    <w:p>
      <w:pPr>
        <w:ind w:firstLine="640" w:firstLineChars="200"/>
        <w:rPr>
          <w:rFonts w:hint="eastAsia" w:ascii="楷体" w:hAnsi="楷体" w:eastAsia="仿宋_GB2312" w:cs="楷体"/>
          <w:sz w:val="32"/>
          <w:szCs w:val="32"/>
          <w:highlight w:val="none"/>
          <w:lang w:eastAsia="zh-CN"/>
        </w:rPr>
      </w:pPr>
      <w:r>
        <w:rPr>
          <w:rFonts w:hint="eastAsia" w:ascii="楷体" w:hAnsi="楷体" w:eastAsia="楷体" w:cs="楷体"/>
          <w:sz w:val="32"/>
          <w:szCs w:val="32"/>
          <w:highlight w:val="none"/>
        </w:rPr>
        <w:t>3.</w:t>
      </w:r>
      <w:r>
        <w:rPr>
          <w:rFonts w:hint="eastAsia" w:ascii="楷体" w:hAnsi="楷体" w:eastAsia="楷体" w:cs="楷体"/>
          <w:sz w:val="32"/>
          <w:szCs w:val="32"/>
          <w:highlight w:val="none"/>
          <w:lang w:eastAsia="zh-CN"/>
        </w:rPr>
        <w:t>公益型</w:t>
      </w:r>
      <w:r>
        <w:rPr>
          <w:rFonts w:hint="eastAsia" w:ascii="楷体" w:hAnsi="楷体" w:eastAsia="楷体" w:cs="楷体"/>
          <w:sz w:val="32"/>
          <w:szCs w:val="32"/>
          <w:highlight w:val="none"/>
        </w:rPr>
        <w:t>企业</w:t>
      </w:r>
      <w:r>
        <w:rPr>
          <w:rFonts w:hint="eastAsia" w:ascii="仿宋_GB2312" w:hAnsi="仿宋_GB2312" w:eastAsia="仿宋_GB2312" w:cs="仿宋_GB2312"/>
          <w:sz w:val="32"/>
          <w:szCs w:val="32"/>
          <w:highlight w:val="none"/>
        </w:rPr>
        <w:t>考核指标设置利润总额（30分）、成本费用率（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0分）</w:t>
      </w:r>
      <w:r>
        <w:rPr>
          <w:rFonts w:hint="eastAsia" w:ascii="仿宋_GB2312" w:hAnsi="仿宋_GB2312" w:eastAsia="仿宋_GB2312" w:cs="仿宋_GB2312"/>
          <w:sz w:val="32"/>
          <w:szCs w:val="32"/>
          <w:highlight w:val="none"/>
          <w:lang w:eastAsia="zh-CN"/>
        </w:rPr>
        <w:t>、服务质量</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lang w:val="en-US" w:eastAsia="zh-CN"/>
        </w:rPr>
        <w:t>15分</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sz w:val="32"/>
          <w:szCs w:val="32"/>
          <w:highlight w:val="none"/>
        </w:rPr>
        <w:t>、党建指标（1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分）和重点工作任务指标（</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highlight w:val="none"/>
          <w:lang w:val="en-US" w:eastAsia="zh-CN"/>
        </w:rPr>
        <w:t>4.</w:t>
      </w:r>
      <w:r>
        <w:rPr>
          <w:rFonts w:hint="eastAsia" w:ascii="楷体" w:hAnsi="楷体" w:eastAsia="楷体" w:cs="楷体"/>
          <w:sz w:val="32"/>
          <w:szCs w:val="32"/>
          <w:highlight w:val="none"/>
        </w:rPr>
        <w:t>亏损企业</w:t>
      </w:r>
      <w:r>
        <w:rPr>
          <w:rFonts w:hint="eastAsia" w:ascii="仿宋_GB2312" w:hAnsi="仿宋_GB2312" w:eastAsia="仿宋_GB2312" w:cs="仿宋_GB2312"/>
          <w:sz w:val="32"/>
          <w:szCs w:val="32"/>
          <w:highlight w:val="none"/>
        </w:rPr>
        <w:t>考核指标设置利润总额（</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0分）、</w:t>
      </w:r>
      <w:r>
        <w:rPr>
          <w:rFonts w:hint="eastAsia" w:ascii="仿宋_GB2312" w:hAnsi="仿宋_GB2312" w:eastAsia="仿宋_GB2312" w:cs="仿宋_GB2312"/>
          <w:sz w:val="32"/>
          <w:szCs w:val="32"/>
          <w:highlight w:val="none"/>
          <w:lang w:eastAsia="zh-CN"/>
        </w:rPr>
        <w:t>人均利润</w:t>
      </w:r>
      <w:r>
        <w:rPr>
          <w:rFonts w:hint="eastAsia" w:ascii="仿宋_GB2312" w:hAnsi="仿宋_GB2312" w:eastAsia="仿宋_GB2312" w:cs="仿宋_GB2312"/>
          <w:sz w:val="32"/>
          <w:szCs w:val="32"/>
          <w:highlight w:val="none"/>
        </w:rPr>
        <w:t>率（10分）、净资产收益率（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0分）、党建指标（1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分）和重点工作任务指标（</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（二）计分规则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本方案企业负责人经营业绩考核满分为100分。每项指标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完成得满分，未完成按完成比例得分。在进行评分时，不设置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业绩考核系数，依据特殊事项管理清单设置加减分项。在计算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绩效薪酬时，不设置绩效薪酬调节系数和年度考核评价系数。</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（三）绩效薪酬确定及发放</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绩效薪酬=绩效薪酬限额</w:t>
      </w:r>
      <w:r>
        <w:rPr>
          <w:rFonts w:hint="default" w:ascii="Arial" w:hAnsi="Arial" w:eastAsia="仿宋_GB2312" w:cs="Arial"/>
          <w:b/>
          <w:bCs/>
          <w:sz w:val="32"/>
          <w:szCs w:val="32"/>
        </w:rPr>
        <w:t>÷</w:t>
      </w:r>
      <w:r>
        <w:rPr>
          <w:rFonts w:hint="eastAsia" w:ascii="仿宋_GB2312" w:hAnsi="仿宋_GB2312" w:eastAsia="仿宋_GB2312" w:cs="仿宋_GB2312"/>
          <w:b/>
          <w:bCs/>
          <w:sz w:val="32"/>
          <w:szCs w:val="32"/>
        </w:rPr>
        <w:t>考核满分（100分）×考核得分，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本年度绩效薪酬除按月预支付部分外，其余部分根据年度经营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业绩考核确定的绩效薪酬结果，在考核年度发放，多退少补。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考核得分在60分（不含本数）以下不予发放绩效薪酬。</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（一）成长型企业和服务型企业利润总额完成值超过目标</w:t>
      </w:r>
    </w:p>
    <w:p>
      <w:pPr>
        <w:rPr>
          <w:rFonts w:hint="eastAsia" w:ascii="仿宋_GB2312" w:hAnsi="仿宋_GB2312" w:eastAsia="仿宋_GB2312" w:cs="仿宋_GB2312"/>
          <w:b w:val="0"/>
          <w:bCs w:val="0"/>
          <w:i w:val="0"/>
          <w:iCs w:val="0"/>
          <w:sz w:val="32"/>
          <w:szCs w:val="32"/>
          <w:u w:val="none"/>
        </w:rPr>
      </w:pPr>
      <w:r>
        <w:rPr>
          <w:rFonts w:hint="eastAsia" w:ascii="仿宋_GB2312" w:hAnsi="仿宋_GB2312" w:eastAsia="仿宋_GB2312" w:cs="仿宋_GB2312"/>
          <w:sz w:val="32"/>
          <w:szCs w:val="32"/>
        </w:rPr>
        <w:t>值的，可在利润超出部分20%以内发放超额利润贡献奖金</w:t>
      </w:r>
      <w:r>
        <w:rPr>
          <w:rFonts w:hint="eastAsia" w:ascii="仿宋_GB2312" w:hAnsi="仿宋_GB2312" w:eastAsia="仿宋_GB2312" w:cs="仿宋_GB2312"/>
          <w:b w:val="0"/>
          <w:bCs w:val="0"/>
          <w:i w:val="0"/>
          <w:iCs w:val="0"/>
          <w:sz w:val="32"/>
          <w:szCs w:val="32"/>
          <w:u w:val="none"/>
        </w:rPr>
        <w:t>，其</w:t>
      </w:r>
    </w:p>
    <w:p>
      <w:pPr>
        <w:rPr>
          <w:rFonts w:hint="eastAsia" w:ascii="仿宋_GB2312" w:hAnsi="仿宋_GB2312" w:eastAsia="仿宋_GB2312" w:cs="仿宋_GB2312"/>
          <w:b w:val="0"/>
          <w:bCs w:val="0"/>
          <w:i w:val="0"/>
          <w:iCs w:val="0"/>
          <w:sz w:val="32"/>
          <w:szCs w:val="32"/>
          <w:u w:val="none"/>
          <w:lang w:eastAsia="zh-CN"/>
        </w:rPr>
      </w:pPr>
      <w:r>
        <w:rPr>
          <w:rFonts w:hint="eastAsia" w:ascii="仿宋_GB2312" w:hAnsi="仿宋_GB2312" w:eastAsia="仿宋_GB2312" w:cs="仿宋_GB2312"/>
          <w:b w:val="0"/>
          <w:bCs w:val="0"/>
          <w:i w:val="0"/>
          <w:iCs w:val="0"/>
          <w:sz w:val="32"/>
          <w:szCs w:val="32"/>
          <w:u w:val="none"/>
        </w:rPr>
        <w:t>中</w:t>
      </w:r>
      <w:r>
        <w:rPr>
          <w:rFonts w:hint="eastAsia" w:ascii="仿宋_GB2312" w:hAnsi="仿宋_GB2312" w:eastAsia="仿宋_GB2312" w:cs="仿宋_GB2312"/>
          <w:b w:val="0"/>
          <w:bCs w:val="0"/>
          <w:i w:val="0"/>
          <w:iCs w:val="0"/>
          <w:sz w:val="32"/>
          <w:szCs w:val="32"/>
          <w:u w:val="none"/>
          <w:lang w:eastAsia="zh-CN"/>
        </w:rPr>
        <w:t>：</w:t>
      </w:r>
      <w:r>
        <w:rPr>
          <w:rFonts w:hint="eastAsia" w:ascii="仿宋_GB2312" w:hAnsi="仿宋_GB2312" w:eastAsia="仿宋_GB2312" w:cs="仿宋_GB2312"/>
          <w:b w:val="0"/>
          <w:bCs w:val="0"/>
          <w:i w:val="0"/>
          <w:iCs w:val="0"/>
          <w:sz w:val="32"/>
          <w:szCs w:val="32"/>
          <w:u w:val="none"/>
        </w:rPr>
        <w:t>企业负责人</w:t>
      </w:r>
      <w:r>
        <w:rPr>
          <w:rFonts w:hint="eastAsia" w:ascii="仿宋_GB2312" w:hAnsi="仿宋_GB2312" w:eastAsia="仿宋_GB2312" w:cs="仿宋_GB2312"/>
          <w:b w:val="0"/>
          <w:bCs w:val="0"/>
          <w:i w:val="0"/>
          <w:iCs w:val="0"/>
          <w:sz w:val="32"/>
          <w:szCs w:val="32"/>
          <w:u w:val="none"/>
          <w:lang w:eastAsia="zh-CN"/>
        </w:rPr>
        <w:t>与员工占比在</w:t>
      </w:r>
      <w:r>
        <w:rPr>
          <w:rFonts w:hint="eastAsia" w:ascii="仿宋_GB2312" w:hAnsi="仿宋_GB2312" w:eastAsia="仿宋_GB2312" w:cs="仿宋_GB2312"/>
          <w:b w:val="0"/>
          <w:bCs w:val="0"/>
          <w:i w:val="0"/>
          <w:iCs w:val="0"/>
          <w:sz w:val="32"/>
          <w:szCs w:val="32"/>
          <w:u w:val="none"/>
          <w:lang w:val="en-US" w:eastAsia="zh-CN"/>
        </w:rPr>
        <w:t>10%以下的，</w:t>
      </w:r>
      <w:r>
        <w:rPr>
          <w:rFonts w:hint="eastAsia" w:ascii="仿宋_GB2312" w:hAnsi="仿宋_GB2312" w:eastAsia="仿宋_GB2312" w:cs="仿宋_GB2312"/>
          <w:b w:val="0"/>
          <w:bCs w:val="0"/>
          <w:i w:val="0"/>
          <w:iCs w:val="0"/>
          <w:sz w:val="32"/>
          <w:szCs w:val="32"/>
          <w:u w:val="none"/>
        </w:rPr>
        <w:t>企业负责人总奖金控制在</w:t>
      </w:r>
      <w:r>
        <w:rPr>
          <w:rFonts w:hint="eastAsia" w:ascii="仿宋_GB2312" w:hAnsi="仿宋_GB2312" w:eastAsia="仿宋_GB2312" w:cs="仿宋_GB2312"/>
          <w:b w:val="0"/>
          <w:bCs w:val="0"/>
          <w:i w:val="0"/>
          <w:iCs w:val="0"/>
          <w:sz w:val="32"/>
          <w:szCs w:val="32"/>
          <w:u w:val="none"/>
          <w:lang w:val="en-US" w:eastAsia="zh-CN"/>
        </w:rPr>
        <w:t>1</w:t>
      </w:r>
      <w:r>
        <w:rPr>
          <w:rFonts w:hint="eastAsia" w:ascii="仿宋_GB2312" w:hAnsi="仿宋_GB2312" w:eastAsia="仿宋_GB2312" w:cs="仿宋_GB2312"/>
          <w:b w:val="0"/>
          <w:bCs w:val="0"/>
          <w:i w:val="0"/>
          <w:iCs w:val="0"/>
          <w:sz w:val="32"/>
          <w:szCs w:val="32"/>
          <w:u w:val="none"/>
        </w:rPr>
        <w:t>0%以内，员工总奖金控制在</w:t>
      </w:r>
      <w:r>
        <w:rPr>
          <w:rFonts w:hint="eastAsia" w:ascii="仿宋_GB2312" w:hAnsi="仿宋_GB2312" w:eastAsia="仿宋_GB2312" w:cs="仿宋_GB2312"/>
          <w:b w:val="0"/>
          <w:bCs w:val="0"/>
          <w:i w:val="0"/>
          <w:iCs w:val="0"/>
          <w:sz w:val="32"/>
          <w:szCs w:val="32"/>
          <w:u w:val="none"/>
          <w:lang w:val="en-US" w:eastAsia="zh-CN"/>
        </w:rPr>
        <w:t>9</w:t>
      </w:r>
      <w:r>
        <w:rPr>
          <w:rFonts w:hint="eastAsia" w:ascii="仿宋_GB2312" w:hAnsi="仿宋_GB2312" w:eastAsia="仿宋_GB2312" w:cs="仿宋_GB2312"/>
          <w:b w:val="0"/>
          <w:bCs w:val="0"/>
          <w:i w:val="0"/>
          <w:iCs w:val="0"/>
          <w:sz w:val="32"/>
          <w:szCs w:val="32"/>
          <w:u w:val="none"/>
        </w:rPr>
        <w:t>0%以内</w:t>
      </w:r>
      <w:r>
        <w:rPr>
          <w:rFonts w:hint="eastAsia" w:ascii="仿宋_GB2312" w:hAnsi="仿宋_GB2312" w:eastAsia="仿宋_GB2312" w:cs="仿宋_GB2312"/>
          <w:b w:val="0"/>
          <w:bCs w:val="0"/>
          <w:i w:val="0"/>
          <w:iCs w:val="0"/>
          <w:sz w:val="32"/>
          <w:szCs w:val="32"/>
          <w:u w:val="none"/>
          <w:lang w:eastAsia="zh-CN"/>
        </w:rPr>
        <w:t>；企业负责人与员工占比在10%以上的，企业负责人总奖金控制在</w:t>
      </w:r>
      <w:r>
        <w:rPr>
          <w:rFonts w:hint="eastAsia" w:ascii="仿宋_GB2312" w:hAnsi="仿宋_GB2312" w:eastAsia="仿宋_GB2312" w:cs="仿宋_GB2312"/>
          <w:b w:val="0"/>
          <w:bCs w:val="0"/>
          <w:i w:val="0"/>
          <w:iCs w:val="0"/>
          <w:sz w:val="32"/>
          <w:szCs w:val="32"/>
          <w:u w:val="none"/>
          <w:lang w:val="en-US" w:eastAsia="zh-CN"/>
        </w:rPr>
        <w:t>30</w:t>
      </w:r>
      <w:r>
        <w:rPr>
          <w:rFonts w:hint="eastAsia" w:ascii="仿宋_GB2312" w:hAnsi="仿宋_GB2312" w:eastAsia="仿宋_GB2312" w:cs="仿宋_GB2312"/>
          <w:b w:val="0"/>
          <w:bCs w:val="0"/>
          <w:i w:val="0"/>
          <w:iCs w:val="0"/>
          <w:sz w:val="32"/>
          <w:szCs w:val="32"/>
          <w:u w:val="none"/>
          <w:lang w:eastAsia="zh-CN"/>
        </w:rPr>
        <w:t>%以内，员工总奖金控制在</w:t>
      </w:r>
      <w:r>
        <w:rPr>
          <w:rFonts w:hint="eastAsia" w:ascii="仿宋_GB2312" w:hAnsi="仿宋_GB2312" w:eastAsia="仿宋_GB2312" w:cs="仿宋_GB2312"/>
          <w:b w:val="0"/>
          <w:bCs w:val="0"/>
          <w:i w:val="0"/>
          <w:iCs w:val="0"/>
          <w:sz w:val="32"/>
          <w:szCs w:val="32"/>
          <w:u w:val="none"/>
          <w:lang w:val="en-US" w:eastAsia="zh-CN"/>
        </w:rPr>
        <w:t>70</w:t>
      </w:r>
      <w:r>
        <w:rPr>
          <w:rFonts w:hint="eastAsia" w:ascii="仿宋_GB2312" w:hAnsi="仿宋_GB2312" w:eastAsia="仿宋_GB2312" w:cs="仿宋_GB2312"/>
          <w:b w:val="0"/>
          <w:bCs w:val="0"/>
          <w:i w:val="0"/>
          <w:iCs w:val="0"/>
          <w:sz w:val="32"/>
          <w:szCs w:val="32"/>
          <w:u w:val="none"/>
          <w:lang w:eastAsia="zh-CN"/>
        </w:rPr>
        <w:t>%以内。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（二）亏损型企业工资总额不得增长或者适度下降；扭亏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为盈次年可依照相关规定合理增加工资总额。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（三）根据企业发展的不同阶段和水平，对企业分类实行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动态调整机制。前述成长型、服务型及亏损型等企业以及新设立的企业，通过持续稳定的经营发展，各项关键指标均已达到竞争型企业的考核指标。经企业申报，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国资</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综合分析评估，报请</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委、政府审核同意，可转为竞争型企业，实行激励薪酬制。批准之年作为任期激励的起始年份，任期届满后，根据考核结果兑现任期激励收入。</w:t>
      </w:r>
    </w:p>
    <w:p>
      <w:pPr>
        <w:ind w:firstLine="643" w:firstLineChars="200"/>
        <w:rPr>
          <w:rFonts w:hint="eastAsia"/>
        </w:rPr>
      </w:pPr>
      <w:r>
        <w:rPr>
          <w:rFonts w:hint="eastAsia" w:ascii="仿宋_GB2312" w:hAnsi="仿宋_GB2312" w:eastAsia="仿宋_GB2312" w:cs="仿宋_GB2312"/>
          <w:b/>
          <w:bCs/>
          <w:sz w:val="32"/>
          <w:szCs w:val="32"/>
        </w:rPr>
        <w:t>成长型企业</w:t>
      </w:r>
      <w:r>
        <w:rPr>
          <w:rFonts w:hint="eastAsia" w:ascii="仿宋_GB2312" w:hAnsi="仿宋_GB2312" w:eastAsia="仿宋_GB2312" w:cs="仿宋_GB2312"/>
          <w:sz w:val="32"/>
          <w:szCs w:val="32"/>
        </w:rPr>
        <w:t>主业收入和利润来源不再主要依赖于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委、政府专项任务，具备一定的市场竞争和自主融资能力，</w:t>
      </w:r>
      <w:r>
        <w:rPr>
          <w:rFonts w:hint="eastAsia" w:ascii="仿宋_GB2312" w:hAnsi="仿宋_GB2312" w:eastAsia="仿宋_GB2312" w:cs="仿宋_GB2312"/>
          <w:sz w:val="32"/>
          <w:szCs w:val="32"/>
          <w:highlight w:val="none"/>
        </w:rPr>
        <w:t>营业收入及利润总额连续三年增幅在10%以上</w:t>
      </w:r>
      <w:r>
        <w:rPr>
          <w:rFonts w:hint="eastAsia" w:ascii="仿宋_GB2312" w:hAnsi="仿宋_GB2312" w:eastAsia="仿宋_GB2312" w:cs="仿宋_GB2312"/>
          <w:sz w:val="32"/>
          <w:szCs w:val="32"/>
        </w:rPr>
        <w:t>且市场化部分占比在50%以上，经申请同意后可转为竞争型企业。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服务型企业</w:t>
      </w:r>
      <w:r>
        <w:rPr>
          <w:rFonts w:hint="eastAsia" w:ascii="仿宋_GB2312" w:hAnsi="仿宋_GB2312" w:eastAsia="仿宋_GB2312" w:cs="仿宋_GB2312"/>
          <w:sz w:val="32"/>
          <w:szCs w:val="32"/>
        </w:rPr>
        <w:t>在保障服务功能基础上，</w:t>
      </w:r>
      <w:r>
        <w:rPr>
          <w:rFonts w:hint="eastAsia" w:ascii="仿宋_GB2312" w:hAnsi="仿宋_GB2312" w:eastAsia="仿宋_GB2312" w:cs="仿宋_GB2312"/>
          <w:sz w:val="32"/>
          <w:szCs w:val="32"/>
          <w:highlight w:val="none"/>
        </w:rPr>
        <w:t>营业收入及利润总额连续三年</w:t>
      </w:r>
      <w:r>
        <w:rPr>
          <w:rFonts w:hint="eastAsia" w:ascii="仿宋_GB2312" w:hAnsi="仿宋_GB2312" w:eastAsia="仿宋_GB2312" w:cs="仿宋_GB2312"/>
          <w:sz w:val="32"/>
          <w:szCs w:val="32"/>
        </w:rPr>
        <w:t>增幅在6%以上且市场化部分占比在50%以上，</w:t>
      </w:r>
      <w:r>
        <w:rPr>
          <w:rFonts w:hint="eastAsia" w:ascii="仿宋_GB2312" w:hAnsi="仿宋_GB2312" w:eastAsia="仿宋_GB2312" w:cs="仿宋_GB2312"/>
          <w:sz w:val="32"/>
          <w:szCs w:val="32"/>
          <w:lang w:eastAsia="zh-CN"/>
        </w:rPr>
        <w:t>且利润总额达到</w:t>
      </w:r>
      <w:r>
        <w:rPr>
          <w:rFonts w:hint="eastAsia" w:ascii="仿宋_GB2312" w:hAnsi="仿宋_GB2312" w:eastAsia="仿宋_GB2312" w:cs="仿宋_GB2312"/>
          <w:sz w:val="32"/>
          <w:szCs w:val="32"/>
          <w:lang w:val="en-US" w:eastAsia="zh-CN"/>
        </w:rPr>
        <w:t>400万元，</w:t>
      </w:r>
      <w:r>
        <w:rPr>
          <w:rFonts w:hint="eastAsia" w:ascii="仿宋_GB2312" w:hAnsi="仿宋_GB2312" w:eastAsia="仿宋_GB2312" w:cs="仿宋_GB2312"/>
          <w:sz w:val="32"/>
          <w:szCs w:val="32"/>
        </w:rPr>
        <w:t>经申请同意后可转为成长型企业。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亏损企业</w:t>
      </w:r>
      <w:r>
        <w:rPr>
          <w:rFonts w:hint="eastAsia" w:ascii="仿宋_GB2312" w:hAnsi="仿宋_GB2312" w:eastAsia="仿宋_GB2312" w:cs="仿宋_GB2312"/>
          <w:sz w:val="32"/>
          <w:szCs w:val="32"/>
        </w:rPr>
        <w:t>扭亏为盈且当年实现利润总额的50%能够覆盖负责人按成长型/服务型企业限额领取的绩效薪酬总额，可相应转为成长型/服务型企业。</w:t>
      </w:r>
    </w:p>
    <w:p>
      <w:pPr>
        <w:ind w:firstLine="640" w:firstLineChars="200"/>
        <w:rPr>
          <w:rFonts w:hint="eastAsia" w:ascii="仿宋_GB2312" w:hAnsi="仿宋_GB2312" w:eastAsia="仿宋_GB2312" w:cs="仿宋_GB2312"/>
          <w:b w:val="0"/>
          <w:bCs w:val="0"/>
          <w:i w:val="0"/>
          <w:iCs w:val="0"/>
          <w:sz w:val="32"/>
          <w:szCs w:val="32"/>
          <w:u w:val="none"/>
        </w:rPr>
      </w:pPr>
      <w:r>
        <w:rPr>
          <w:rFonts w:hint="eastAsia" w:ascii="仿宋_GB2312" w:hAnsi="仿宋_GB2312" w:eastAsia="仿宋_GB2312" w:cs="仿宋_GB2312"/>
          <w:b w:val="0"/>
          <w:bCs w:val="0"/>
          <w:i w:val="0"/>
          <w:iCs w:val="0"/>
          <w:sz w:val="32"/>
          <w:szCs w:val="32"/>
          <w:u w:val="none"/>
        </w:rPr>
        <w:t>（四）奎屯市财汇融资担保有限责任公司的考核指标和权</w:t>
      </w:r>
    </w:p>
    <w:p>
      <w:pPr>
        <w:rPr>
          <w:rFonts w:hint="eastAsia" w:ascii="仿宋_GB2312" w:hAnsi="仿宋_GB2312" w:eastAsia="仿宋_GB2312" w:cs="仿宋_GB2312"/>
          <w:b w:val="0"/>
          <w:bCs w:val="0"/>
          <w:i w:val="0"/>
          <w:iCs w:val="0"/>
          <w:sz w:val="32"/>
          <w:szCs w:val="32"/>
          <w:u w:val="none"/>
        </w:rPr>
      </w:pPr>
      <w:r>
        <w:rPr>
          <w:rFonts w:hint="eastAsia" w:ascii="仿宋_GB2312" w:hAnsi="仿宋_GB2312" w:eastAsia="仿宋_GB2312" w:cs="仿宋_GB2312"/>
          <w:b w:val="0"/>
          <w:bCs w:val="0"/>
          <w:i w:val="0"/>
          <w:iCs w:val="0"/>
          <w:sz w:val="32"/>
          <w:szCs w:val="32"/>
          <w:u w:val="none"/>
        </w:rPr>
        <w:t>重根据财政部发布的《政府性融资担保、再担保机构绩效评价</w:t>
      </w:r>
    </w:p>
    <w:p>
      <w:pPr>
        <w:rPr>
          <w:rFonts w:hint="eastAsia" w:ascii="仿宋_GB2312" w:hAnsi="仿宋_GB2312" w:eastAsia="仿宋_GB2312" w:cs="仿宋_GB2312"/>
          <w:b w:val="0"/>
          <w:bCs w:val="0"/>
          <w:i w:val="0"/>
          <w:iCs w:val="0"/>
          <w:sz w:val="32"/>
          <w:szCs w:val="32"/>
          <w:u w:val="none"/>
        </w:rPr>
      </w:pPr>
      <w:r>
        <w:rPr>
          <w:rFonts w:hint="eastAsia" w:ascii="仿宋_GB2312" w:hAnsi="仿宋_GB2312" w:eastAsia="仿宋_GB2312" w:cs="仿宋_GB2312"/>
          <w:b w:val="0"/>
          <w:bCs w:val="0"/>
          <w:i w:val="0"/>
          <w:iCs w:val="0"/>
          <w:sz w:val="32"/>
          <w:szCs w:val="32"/>
          <w:u w:val="none"/>
        </w:rPr>
        <w:t>指引》（财金[2020]31号）确定，确保政府性融资担保、再</w:t>
      </w:r>
    </w:p>
    <w:p>
      <w:pPr>
        <w:rPr>
          <w:rFonts w:hint="eastAsia" w:ascii="仿宋_GB2312" w:hAnsi="仿宋_GB2312" w:eastAsia="仿宋_GB2312" w:cs="仿宋_GB2312"/>
          <w:b w:val="0"/>
          <w:bCs w:val="0"/>
          <w:i w:val="0"/>
          <w:iCs w:val="0"/>
          <w:sz w:val="32"/>
          <w:szCs w:val="32"/>
          <w:u w:val="none"/>
        </w:rPr>
      </w:pPr>
      <w:r>
        <w:rPr>
          <w:rFonts w:hint="eastAsia" w:ascii="仿宋_GB2312" w:hAnsi="仿宋_GB2312" w:eastAsia="仿宋_GB2312" w:cs="仿宋_GB2312"/>
          <w:b w:val="0"/>
          <w:bCs w:val="0"/>
          <w:i w:val="0"/>
          <w:iCs w:val="0"/>
          <w:sz w:val="32"/>
          <w:szCs w:val="32"/>
          <w:u w:val="none"/>
        </w:rPr>
        <w:t>担保机构在政策效益、经营能力、风险控制和体系建设等方面</w:t>
      </w:r>
    </w:p>
    <w:p>
      <w:pPr>
        <w:rPr>
          <w:rFonts w:hint="eastAsia" w:ascii="仿宋_GB2312" w:hAnsi="仿宋_GB2312" w:eastAsia="仿宋_GB2312" w:cs="仿宋_GB2312"/>
          <w:b w:val="0"/>
          <w:bCs w:val="0"/>
          <w:i w:val="0"/>
          <w:iCs w:val="0"/>
          <w:sz w:val="32"/>
          <w:szCs w:val="32"/>
          <w:u w:val="none"/>
        </w:rPr>
      </w:pPr>
      <w:r>
        <w:rPr>
          <w:rFonts w:hint="eastAsia" w:ascii="仿宋_GB2312" w:hAnsi="仿宋_GB2312" w:eastAsia="仿宋_GB2312" w:cs="仿宋_GB2312"/>
          <w:b w:val="0"/>
          <w:bCs w:val="0"/>
          <w:i w:val="0"/>
          <w:iCs w:val="0"/>
          <w:sz w:val="32"/>
          <w:szCs w:val="32"/>
          <w:u w:val="none"/>
        </w:rPr>
        <w:t>得到全面评价。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（五）其他事宜按照《</w:t>
      </w:r>
      <w:r>
        <w:rPr>
          <w:rFonts w:hint="eastAsia" w:ascii="仿宋_GB2312" w:hAnsi="仿宋_GB2312" w:eastAsia="仿宋_GB2312" w:cs="仿宋_GB2312"/>
          <w:sz w:val="32"/>
          <w:szCs w:val="32"/>
          <w:lang w:eastAsia="zh-CN"/>
        </w:rPr>
        <w:t>奎屯市</w:t>
      </w:r>
      <w:r>
        <w:rPr>
          <w:rFonts w:hint="eastAsia" w:ascii="仿宋_GB2312" w:hAnsi="仿宋_GB2312" w:eastAsia="仿宋_GB2312" w:cs="仿宋_GB2312"/>
          <w:sz w:val="32"/>
          <w:szCs w:val="32"/>
        </w:rPr>
        <w:t>国有企业负责人薪酬管理办法》相关规定执行。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right="0" w:firstLine="720" w:firstLineChars="200"/>
        <w:textAlignment w:val="auto"/>
        <w:rPr>
          <w:rFonts w:hint="default" w:ascii="Times New Roman" w:hAnsi="Times New Roman" w:eastAsia="方正仿宋简体" w:cs="Times New Roman"/>
          <w:color w:val="auto"/>
          <w:sz w:val="36"/>
          <w:szCs w:val="28"/>
          <w:highlight w:val="none"/>
          <w:u w:val="none"/>
          <w:lang w:val="en-US" w:eastAsia="zh-CN"/>
        </w:rPr>
      </w:pPr>
      <w:r>
        <w:rPr>
          <w:rFonts w:hint="default" w:ascii="Times New Roman" w:hAnsi="Times New Roman" w:eastAsia="方正仿宋简体" w:cs="Times New Roman"/>
          <w:color w:val="auto"/>
          <w:sz w:val="36"/>
          <w:szCs w:val="28"/>
          <w:highlight w:val="none"/>
          <w:u w:val="none"/>
          <w:lang w:val="en-US" w:eastAsia="zh-CN"/>
        </w:rPr>
        <w:br w:type="page"/>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4"/>
          <w:highlight w:val="none"/>
          <w:u w:val="none"/>
          <w:lang w:val="en-US" w:eastAsia="zh-CN"/>
        </w:rPr>
      </w:pPr>
      <w:r>
        <w:rPr>
          <w:rFonts w:hint="default" w:ascii="Times New Roman" w:hAnsi="Times New Roman" w:eastAsia="黑体" w:cs="Times New Roman"/>
          <w:color w:val="auto"/>
          <w:sz w:val="32"/>
          <w:szCs w:val="24"/>
          <w:highlight w:val="none"/>
          <w:u w:val="none"/>
          <w:lang w:val="en-US" w:eastAsia="zh-CN"/>
        </w:rPr>
        <w:t>附件2</w:t>
      </w:r>
    </w:p>
    <w:tbl>
      <w:tblPr>
        <w:tblStyle w:val="10"/>
        <w:tblpPr w:leftFromText="180" w:rightFromText="180" w:vertAnchor="text" w:horzAnchor="page" w:tblpX="2335" w:tblpY="467"/>
        <w:tblOverlap w:val="never"/>
        <w:tblW w:w="768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7"/>
        <w:gridCol w:w="1443"/>
        <w:gridCol w:w="1635"/>
        <w:gridCol w:w="1620"/>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683" w:type="dxa"/>
            <w:gridSpan w:val="5"/>
            <w:tcBorders>
              <w:top w:val="nil"/>
              <w:left w:val="nil"/>
              <w:bottom w:val="nil"/>
              <w:right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小标宋简体" w:cs="Times New Roman"/>
                <w:i w:val="0"/>
                <w:iCs w:val="0"/>
                <w:color w:val="auto"/>
                <w:kern w:val="0"/>
                <w:sz w:val="44"/>
                <w:szCs w:val="44"/>
                <w:highlight w:val="none"/>
                <w:u w:val="none"/>
                <w:lang w:val="en-US" w:eastAsia="zh-CN" w:bidi="ar"/>
              </w:rPr>
            </w:pPr>
            <w:r>
              <w:rPr>
                <w:rFonts w:hint="default" w:ascii="Times New Roman" w:hAnsi="Times New Roman" w:eastAsia="方正小标宋简体" w:cs="Times New Roman"/>
                <w:i w:val="0"/>
                <w:iCs w:val="0"/>
                <w:color w:val="auto"/>
                <w:kern w:val="0"/>
                <w:sz w:val="44"/>
                <w:szCs w:val="44"/>
                <w:highlight w:val="none"/>
                <w:u w:val="none"/>
                <w:lang w:val="en-US" w:eastAsia="zh-CN" w:bidi="ar"/>
              </w:rPr>
              <w:t>企业主要负责人</w:t>
            </w:r>
            <w:r>
              <w:rPr>
                <w:rFonts w:hint="eastAsia" w:ascii="Times New Roman" w:hAnsi="Times New Roman" w:eastAsia="方正小标宋简体" w:cs="Times New Roman"/>
                <w:i w:val="0"/>
                <w:iCs w:val="0"/>
                <w:color w:val="auto"/>
                <w:kern w:val="0"/>
                <w:sz w:val="44"/>
                <w:szCs w:val="44"/>
                <w:highlight w:val="none"/>
                <w:u w:val="none"/>
                <w:lang w:val="en-US" w:eastAsia="zh-CN" w:bidi="ar"/>
              </w:rPr>
              <w:t>基本薪酬</w:t>
            </w:r>
            <w:r>
              <w:rPr>
                <w:rFonts w:hint="default" w:ascii="Times New Roman" w:hAnsi="Times New Roman" w:eastAsia="方正小标宋简体" w:cs="Times New Roman"/>
                <w:i w:val="0"/>
                <w:iCs w:val="0"/>
                <w:color w:val="auto"/>
                <w:kern w:val="0"/>
                <w:sz w:val="44"/>
                <w:szCs w:val="44"/>
                <w:highlight w:val="none"/>
                <w:u w:val="none"/>
                <w:lang w:val="en-US" w:eastAsia="zh-CN" w:bidi="ar"/>
              </w:rPr>
              <w:t>调节系数表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Times New Roman" w:hAnsi="Times New Roman" w:eastAsia="方正小标宋简体" w:cs="Times New Roman"/>
                <w:i w:val="0"/>
                <w:iCs w:val="0"/>
                <w:color w:val="auto"/>
                <w:sz w:val="44"/>
                <w:szCs w:val="4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简体" w:cs="Times New Roman"/>
                <w:i w:val="0"/>
                <w:iCs w:val="0"/>
                <w:color w:val="auto"/>
                <w:kern w:val="0"/>
                <w:sz w:val="22"/>
                <w:szCs w:val="22"/>
                <w:highlight w:val="none"/>
                <w:u w:val="none"/>
                <w:lang w:val="en-US" w:eastAsia="zh-CN" w:bidi="ar"/>
              </w:rPr>
            </w:pPr>
            <w:r>
              <w:rPr>
                <w:rFonts w:hint="default" w:ascii="Times New Roman" w:hAnsi="Times New Roman" w:eastAsia="方正仿宋简体" w:cs="Times New Roman"/>
                <w:color w:val="auto"/>
                <w:sz w:val="22"/>
                <w:szCs w:val="36"/>
                <w:highlight w:val="none"/>
                <w:u w:val="none"/>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11430</wp:posOffset>
                      </wp:positionV>
                      <wp:extent cx="755650" cy="706755"/>
                      <wp:effectExtent l="3175" t="3175" r="3175" b="13970"/>
                      <wp:wrapNone/>
                      <wp:docPr id="1" name="直接箭头连接符 1"/>
                      <wp:cNvGraphicFramePr/>
                      <a:graphic xmlns:a="http://schemas.openxmlformats.org/drawingml/2006/main">
                        <a:graphicData uri="http://schemas.microsoft.com/office/word/2010/wordprocessingShape">
                          <wps:wsp>
                            <wps:cNvCnPr/>
                            <wps:spPr>
                              <a:xfrm>
                                <a:off x="0" y="0"/>
                                <a:ext cx="755650" cy="706755"/>
                              </a:xfrm>
                              <a:prstGeom prst="straightConnector1">
                                <a:avLst/>
                              </a:prstGeom>
                              <a:ln w="63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8pt;margin-top:0.9pt;height:55.65pt;width:59.5pt;z-index:251660288;mso-width-relative:page;mso-height-relative:page;" filled="f" stroked="t" coordsize="21600,21600" o:gfxdata="UEsDBAoAAAAAAIdO4kAAAAAAAAAAAAAAAAAEAAAAZHJzL1BLAwQUAAAACACHTuJALCqWXNYAAAAI&#10;AQAADwAAAGRycy9kb3ducmV2LnhtbE2PzU7DMBCE70i8g7VI3Fo7BVU0xOmhgMSpgoJA3LaxiSPi&#10;dRQ7P7w92xO97e6MZr8ptrNvxWj72ATSkC0VCEtVMA3VGt7fnhZ3IGJCMtgGshp+bYRteXlRYG7C&#10;RK92PKRacAjFHDW4lLpcylg56zEuQ2eJte/Qe0y89rU0PU4c7lu5UmotPTbEHxx2duds9XMYvAaP&#10;z2FYud24/5gfXsz0RdX+8VPr66tM3YNIdk7/ZjjhMzqUzHQMA5koWg2LzZqdfOcCJ1ltbkEcechu&#10;MpBlIc8LlH9QSwMEFAAAAAgAh07iQByYTJfnAQAArAMAAA4AAABkcnMvZTJvRG9jLnhtbK1TS44T&#10;MRDdI3EHy3vSyaBkUCudWSQMGwSRgANUbHe3Jf/k8qSTS3ABJFbACljNfk4DwzEoOyHDZ4MQvXBX&#10;uerV51V5frGzhm1VRO1dwyejMWfKCS+16xr+6uXlg0ecYQInwXinGr5XyC8W9+/Nh1CrM997I1Vk&#10;FMRhPYSG9ymFuqpQ9MoCjnxQjoytjxYSqbGrZISBoltTnY3Hs2rwUYbohUKk29XByBclftsqkZ63&#10;LarETMOptlTOWM5NPqvFHOouQui1OJYB/1CFBe0o6SnUChKwq6j/CGW1iB59m0bC28q3rRaq9EDd&#10;TMa/dfOih6BKL0QOhhNN+P/CimfbdWRa0uw4c2BpRLdvrr++fn/7+dOXd9ffbt5m+eMHNslUDQFr&#10;QizdOh41DOuY+9610eY/dcR2hd79iV61S0zQ5fl0OpvSEASZzsczUnPM6g4cIqYnyluWhYZjiqC7&#10;Pi29czRIHyeFYtg+xXQA/gDkzMaxoeGzhyUD0Cq1BhIls4GaQ9cVLHqj5aU2JiMwdpuliWwLeTnK&#10;dyzoF7ecZAXYH/yKKbtBHf2Vk0XqFcjHTrK0D0Sgo03nuRirJGdG0cPIUvFMoM3feBIrxhE5mfED&#10;x1naeLkv1Jd7WolC33F98879rBf03SNbf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KpZc1gAA&#10;AAgBAAAPAAAAAAAAAAEAIAAAACIAAABkcnMvZG93bnJldi54bWxQSwECFAAUAAAACACHTuJAHJhM&#10;l+cBAACsAwAADgAAAAAAAAABACAAAAAlAQAAZHJzL2Uyb0RvYy54bWxQSwUGAAAAAAYABgBZAQAA&#10;fgUAAAAA&#10;">
                      <v:fill on="f" focussize="0,0"/>
                      <v:stroke weight="0.5pt" color="#000000" joinstyle="round"/>
                      <v:imagedata o:title=""/>
                      <o:lock v:ext="edit" aspectratio="f"/>
                    </v:shape>
                  </w:pict>
                </mc:Fallback>
              </mc:AlternateContent>
            </w:r>
            <w:r>
              <w:rPr>
                <w:rFonts w:hint="default" w:ascii="Times New Roman" w:hAnsi="Times New Roman" w:eastAsia="方正仿宋简体" w:cs="Times New Roman"/>
                <w:i w:val="0"/>
                <w:iCs w:val="0"/>
                <w:color w:val="auto"/>
                <w:kern w:val="0"/>
                <w:sz w:val="22"/>
                <w:szCs w:val="22"/>
                <w:highlight w:val="none"/>
                <w:u w:val="none"/>
                <w:lang w:val="en-US" w:eastAsia="zh-CN" w:bidi="ar"/>
              </w:rPr>
              <w:t xml:space="preserve">  指标及  </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简体" w:cs="Times New Roman"/>
                <w:i w:val="0"/>
                <w:iCs w:val="0"/>
                <w:color w:val="auto"/>
                <w:kern w:val="0"/>
                <w:sz w:val="22"/>
                <w:szCs w:val="22"/>
                <w:highlight w:val="none"/>
                <w:u w:val="none"/>
                <w:lang w:val="en-US" w:eastAsia="zh-CN" w:bidi="ar"/>
              </w:rPr>
            </w:pPr>
            <w:r>
              <w:rPr>
                <w:rFonts w:hint="default" w:ascii="Times New Roman" w:hAnsi="Times New Roman" w:eastAsia="方正仿宋简体" w:cs="Times New Roman"/>
                <w:i w:val="0"/>
                <w:iCs w:val="0"/>
                <w:color w:val="auto"/>
                <w:kern w:val="0"/>
                <w:sz w:val="22"/>
                <w:szCs w:val="22"/>
                <w:highlight w:val="none"/>
                <w:u w:val="none"/>
                <w:lang w:val="en-US" w:eastAsia="zh-CN" w:bidi="ar"/>
              </w:rPr>
              <w:t xml:space="preserve">    权重</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简体" w:cs="Times New Roman"/>
                <w:i w:val="0"/>
                <w:iCs w:val="0"/>
                <w:color w:val="auto"/>
                <w:kern w:val="0"/>
                <w:sz w:val="22"/>
                <w:szCs w:val="22"/>
                <w:highlight w:val="none"/>
                <w:u w:val="none"/>
                <w:lang w:val="en-US" w:eastAsia="zh-CN" w:bidi="ar"/>
              </w:rPr>
            </w:pPr>
            <w:r>
              <w:rPr>
                <w:rFonts w:hint="default" w:ascii="Times New Roman" w:hAnsi="Times New Roman" w:eastAsia="方正仿宋简体" w:cs="Times New Roman"/>
                <w:i w:val="0"/>
                <w:iCs w:val="0"/>
                <w:color w:val="auto"/>
                <w:kern w:val="0"/>
                <w:sz w:val="22"/>
                <w:szCs w:val="22"/>
                <w:highlight w:val="none"/>
                <w:u w:val="none"/>
                <w:lang w:val="en-US" w:eastAsia="zh-CN" w:bidi="ar"/>
              </w:rPr>
              <w:t>对应</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2"/>
                <w:szCs w:val="22"/>
                <w:highlight w:val="none"/>
                <w:u w:val="none"/>
                <w:lang w:val="en-US" w:eastAsia="zh-CN" w:bidi="ar"/>
              </w:rPr>
              <w:t>系数值</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资产总额（亿元）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净资产占资产总额比率</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平均从业人员（人）</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lang w:val="en-US"/>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企业功能界定分类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auto"/>
                <w:sz w:val="21"/>
                <w:szCs w:val="21"/>
                <w:highlight w:val="none"/>
                <w:u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30%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eastAsia" w:ascii="Times New Roman" w:hAnsi="Times New Roman" w:eastAsia="方正仿宋简体" w:cs="Times New Roman"/>
                <w:i w:val="0"/>
                <w:iCs w:val="0"/>
                <w:color w:val="auto"/>
                <w:kern w:val="0"/>
                <w:sz w:val="21"/>
                <w:szCs w:val="21"/>
                <w:highlight w:val="none"/>
                <w:u w:val="none"/>
                <w:lang w:val="en-US" w:eastAsia="zh-CN" w:bidi="ar"/>
              </w:rPr>
              <w:t>2</w:t>
            </w:r>
            <w:r>
              <w:rPr>
                <w:rFonts w:hint="default" w:ascii="Times New Roman" w:hAnsi="Times New Roman" w:eastAsia="方正仿宋简体" w:cs="Times New Roman"/>
                <w:i w:val="0"/>
                <w:iCs w:val="0"/>
                <w:color w:val="auto"/>
                <w:kern w:val="0"/>
                <w:sz w:val="21"/>
                <w:szCs w:val="21"/>
                <w:highlight w:val="none"/>
                <w:u w:val="none"/>
                <w:lang w:val="en-US" w:eastAsia="zh-CN" w:bidi="ar"/>
              </w:rPr>
              <w:t>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eastAsia" w:ascii="Times New Roman" w:hAnsi="Times New Roman" w:eastAsia="方正仿宋简体" w:cs="Times New Roman"/>
                <w:i w:val="0"/>
                <w:iCs w:val="0"/>
                <w:color w:val="auto"/>
                <w:kern w:val="0"/>
                <w:sz w:val="21"/>
                <w:szCs w:val="21"/>
                <w:highlight w:val="none"/>
                <w:u w:val="none"/>
                <w:lang w:val="en-US" w:eastAsia="zh-CN" w:bidi="ar"/>
              </w:rPr>
              <w:t>3</w:t>
            </w:r>
            <w:r>
              <w:rPr>
                <w:rFonts w:hint="default" w:ascii="Times New Roman" w:hAnsi="Times New Roman" w:eastAsia="方正仿宋简体" w:cs="Times New Roman"/>
                <w:i w:val="0"/>
                <w:iCs w:val="0"/>
                <w:color w:val="auto"/>
                <w:kern w:val="0"/>
                <w:sz w:val="21"/>
                <w:szCs w:val="21"/>
                <w:highlight w:val="none"/>
                <w:u w:val="none"/>
                <w:lang w:val="en-US" w:eastAsia="zh-CN" w:bidi="ar"/>
              </w:rPr>
              <w:t>0%</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eastAsia" w:ascii="Times New Roman" w:hAnsi="Times New Roman" w:eastAsia="方正仿宋简体" w:cs="Times New Roman"/>
                <w:i w:val="0"/>
                <w:iCs w:val="0"/>
                <w:color w:val="auto"/>
                <w:kern w:val="0"/>
                <w:sz w:val="21"/>
                <w:szCs w:val="21"/>
                <w:highlight w:val="none"/>
                <w:u w:val="none"/>
                <w:lang w:val="en-US" w:eastAsia="zh-CN" w:bidi="ar"/>
              </w:rPr>
              <w:t>2</w:t>
            </w:r>
            <w:r>
              <w:rPr>
                <w:rFonts w:hint="default" w:ascii="Times New Roman" w:hAnsi="Times New Roman" w:eastAsia="方正仿宋简体" w:cs="Times New Roman"/>
                <w:i w:val="0"/>
                <w:iCs w:val="0"/>
                <w:color w:val="auto"/>
                <w:kern w:val="0"/>
                <w:sz w:val="21"/>
                <w:szCs w:val="21"/>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100及以上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lang w:val="en-US"/>
              </w:rPr>
            </w:pPr>
            <w:r>
              <w:rPr>
                <w:rFonts w:hint="default" w:ascii="Times New Roman" w:hAnsi="Times New Roman" w:eastAsia="方正仿宋简体" w:cs="Times New Roman"/>
                <w:i w:val="0"/>
                <w:iCs w:val="0"/>
                <w:color w:val="auto"/>
                <w:kern w:val="0"/>
                <w:sz w:val="21"/>
                <w:szCs w:val="21"/>
                <w:highlight w:val="none"/>
                <w:u w:val="none"/>
                <w:lang w:val="en-US" w:eastAsia="zh-CN" w:bidi="ar"/>
              </w:rPr>
              <w:t>60%（含）-80%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300及以上</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商业一类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jc w:val="center"/>
        </w:trPr>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1.9</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50（含）-100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lang w:val="en-US"/>
              </w:rPr>
            </w:pPr>
            <w:r>
              <w:rPr>
                <w:rFonts w:hint="default" w:ascii="Times New Roman" w:hAnsi="Times New Roman" w:eastAsia="方正仿宋简体" w:cs="Times New Roman"/>
                <w:i w:val="0"/>
                <w:iCs w:val="0"/>
                <w:color w:val="auto"/>
                <w:kern w:val="0"/>
                <w:sz w:val="21"/>
                <w:szCs w:val="21"/>
                <w:highlight w:val="none"/>
                <w:u w:val="none"/>
                <w:lang w:val="en-US" w:eastAsia="zh-CN" w:bidi="ar"/>
              </w:rPr>
              <w:t>30%（含）-60%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150（含）-300</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商业二类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1.8</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50以下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30%以下或80%（含）以上</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150以下</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公益类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683"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8"/>
                <w:szCs w:val="28"/>
                <w:highlight w:val="none"/>
                <w:u w:val="none"/>
              </w:rPr>
            </w:pPr>
          </w:p>
        </w:tc>
      </w:tr>
    </w:tbl>
    <w:p>
      <w:pPr>
        <w:keepNext w:val="0"/>
        <w:keepLines w:val="0"/>
        <w:pageBreakBefore w:val="0"/>
        <w:widowControl w:val="0"/>
        <w:kinsoku/>
        <w:wordWrap/>
        <w:overflowPunct w:val="0"/>
        <w:topLinePunct w:val="0"/>
        <w:autoSpaceDE/>
        <w:autoSpaceDN/>
        <w:bidi w:val="0"/>
        <w:adjustRightInd/>
        <w:snapToGrid/>
        <w:spacing w:line="560" w:lineRule="exact"/>
        <w:ind w:firstLine="1800" w:firstLineChars="500"/>
        <w:textAlignment w:val="auto"/>
        <w:rPr>
          <w:rFonts w:hint="default" w:ascii="Times New Roman" w:hAnsi="Times New Roman" w:eastAsia="方正仿宋简体" w:cs="Times New Roman"/>
          <w:color w:val="auto"/>
          <w:sz w:val="36"/>
          <w:szCs w:val="36"/>
          <w:highlight w:val="none"/>
          <w:u w:val="none"/>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color w:val="auto"/>
          <w:sz w:val="36"/>
          <w:szCs w:val="36"/>
          <w:highlight w:val="none"/>
          <w:u w:val="none"/>
          <w:lang w:val="en-US" w:eastAsia="zh-CN"/>
        </w:rPr>
      </w:pPr>
    </w:p>
    <w:p>
      <w:pPr>
        <w:pStyle w:val="5"/>
        <w:rPr>
          <w:rFonts w:hint="default" w:ascii="Times New Roman" w:hAnsi="Times New Roman" w:eastAsia="方正仿宋简体" w:cs="Times New Roman"/>
          <w:b/>
          <w:bCs/>
          <w:color w:val="auto"/>
          <w:sz w:val="36"/>
          <w:szCs w:val="36"/>
          <w:highlight w:val="none"/>
          <w:u w:val="none"/>
          <w:lang w:val="en-US" w:eastAsia="zh-CN"/>
        </w:rPr>
      </w:pPr>
    </w:p>
    <w:p>
      <w:pPr>
        <w:pStyle w:val="6"/>
        <w:rPr>
          <w:rFonts w:hint="default" w:ascii="Times New Roman" w:hAnsi="Times New Roman" w:eastAsia="方正仿宋简体" w:cs="Times New Roman"/>
          <w:b/>
          <w:bCs/>
          <w:color w:val="auto"/>
          <w:sz w:val="36"/>
          <w:szCs w:val="36"/>
          <w:highlight w:val="none"/>
          <w:u w:val="none"/>
          <w:lang w:val="en-US" w:eastAsia="zh-CN"/>
        </w:rPr>
      </w:pPr>
    </w:p>
    <w:p>
      <w:pPr>
        <w:rPr>
          <w:rFonts w:hint="default" w:ascii="Times New Roman" w:hAnsi="Times New Roman" w:eastAsia="方正仿宋简体" w:cs="Times New Roman"/>
          <w:b/>
          <w:bCs/>
          <w:color w:val="auto"/>
          <w:sz w:val="36"/>
          <w:szCs w:val="36"/>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636" w:lineRule="exact"/>
        <w:jc w:val="left"/>
        <w:textAlignment w:val="auto"/>
        <w:rPr>
          <w:rFonts w:hint="default" w:ascii="Times New Roman" w:hAnsi="Times New Roman" w:eastAsia="方正仿宋简体" w:cs="Times New Roman"/>
          <w:b/>
          <w:bCs/>
          <w:color w:val="auto"/>
          <w:spacing w:val="-11"/>
          <w:sz w:val="36"/>
          <w:szCs w:val="36"/>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636" w:lineRule="exact"/>
        <w:jc w:val="left"/>
        <w:textAlignment w:val="auto"/>
        <w:rPr>
          <w:rFonts w:hint="default" w:ascii="Times New Roman" w:hAnsi="Times New Roman" w:eastAsia="方正仿宋简体" w:cs="Times New Roman"/>
          <w:b/>
          <w:bCs/>
          <w:color w:val="auto"/>
          <w:spacing w:val="-11"/>
          <w:sz w:val="36"/>
          <w:szCs w:val="36"/>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636" w:lineRule="exact"/>
        <w:jc w:val="left"/>
        <w:textAlignment w:val="auto"/>
        <w:rPr>
          <w:rFonts w:hint="default" w:ascii="Times New Roman" w:hAnsi="Times New Roman" w:eastAsia="方正仿宋简体" w:cs="Times New Roman"/>
          <w:b/>
          <w:bCs/>
          <w:color w:val="auto"/>
          <w:spacing w:val="-11"/>
          <w:sz w:val="36"/>
          <w:szCs w:val="36"/>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636" w:lineRule="exact"/>
        <w:ind w:firstLine="679" w:firstLineChars="200"/>
        <w:jc w:val="left"/>
        <w:textAlignment w:val="auto"/>
        <w:rPr>
          <w:rFonts w:hint="default" w:ascii="Times New Roman" w:hAnsi="Times New Roman" w:eastAsia="方正仿宋简体" w:cs="Times New Roman"/>
          <w:b/>
          <w:bCs/>
          <w:color w:val="auto"/>
          <w:spacing w:val="-11"/>
          <w:sz w:val="36"/>
          <w:szCs w:val="36"/>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636" w:lineRule="exact"/>
        <w:ind w:firstLine="679" w:firstLineChars="200"/>
        <w:jc w:val="left"/>
        <w:textAlignment w:val="auto"/>
        <w:rPr>
          <w:rFonts w:hint="default" w:ascii="Times New Roman" w:hAnsi="Times New Roman" w:eastAsia="方正仿宋简体" w:cs="Times New Roman"/>
          <w:b/>
          <w:bCs/>
          <w:color w:val="auto"/>
          <w:spacing w:val="-11"/>
          <w:sz w:val="36"/>
          <w:szCs w:val="36"/>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636" w:lineRule="exact"/>
        <w:ind w:firstLine="599" w:firstLineChars="200"/>
        <w:jc w:val="left"/>
        <w:textAlignment w:val="auto"/>
        <w:rPr>
          <w:rFonts w:hint="eastAsia" w:ascii="仿宋_GB2312" w:hAnsi="仿宋_GB2312" w:eastAsia="仿宋_GB2312" w:cs="仿宋_GB2312"/>
          <w:b/>
          <w:bCs/>
          <w:color w:val="auto"/>
          <w:spacing w:val="-11"/>
          <w:sz w:val="32"/>
          <w:szCs w:val="3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center"/>
        <w:rPr>
          <w:rFonts w:hint="default" w:ascii="仿宋_GB2312" w:hAnsi="仿宋_GB2312" w:eastAsia="仿宋_GB2312" w:cs="仿宋_GB2312"/>
          <w:b w:val="0"/>
          <w:bCs w:val="0"/>
          <w:color w:val="auto"/>
          <w:spacing w:val="0"/>
          <w:kern w:val="0"/>
          <w:sz w:val="32"/>
          <w:szCs w:val="32"/>
          <w:highlight w:val="none"/>
          <w:u w:val="none"/>
          <w:lang w:val="en-US" w:eastAsia="zh-CN" w:bidi="ar"/>
        </w:rPr>
      </w:pPr>
      <w:r>
        <w:rPr>
          <w:rFonts w:hint="eastAsia" w:ascii="仿宋_GB2312" w:hAnsi="仿宋_GB2312" w:eastAsia="仿宋_GB2312" w:cs="仿宋_GB2312"/>
          <w:b w:val="0"/>
          <w:bCs w:val="0"/>
          <w:color w:val="auto"/>
          <w:spacing w:val="0"/>
          <w:kern w:val="0"/>
          <w:sz w:val="32"/>
          <w:szCs w:val="32"/>
          <w:highlight w:val="none"/>
          <w:u w:val="none"/>
          <w:lang w:val="en-US" w:eastAsia="zh-CN" w:bidi="ar"/>
        </w:rPr>
        <w:t>1.基本薪酬调节系数=∑（单项指标对应系数*指标权重)</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center"/>
        <w:rPr>
          <w:rFonts w:hint="eastAsia" w:ascii="仿宋_GB2312" w:hAnsi="仿宋_GB2312" w:eastAsia="仿宋_GB2312" w:cs="仿宋_GB2312"/>
          <w:b w:val="0"/>
          <w:bCs w:val="0"/>
          <w:color w:val="auto"/>
          <w:spacing w:val="0"/>
          <w:kern w:val="0"/>
          <w:sz w:val="32"/>
          <w:szCs w:val="32"/>
          <w:highlight w:val="none"/>
          <w:u w:val="none"/>
          <w:lang w:val="en-US" w:eastAsia="zh-CN" w:bidi="ar"/>
        </w:rPr>
      </w:pPr>
      <w:r>
        <w:rPr>
          <w:rFonts w:hint="eastAsia" w:ascii="仿宋_GB2312" w:hAnsi="仿宋_GB2312" w:eastAsia="仿宋_GB2312" w:cs="仿宋_GB2312"/>
          <w:b w:val="0"/>
          <w:bCs w:val="0"/>
          <w:color w:val="auto"/>
          <w:spacing w:val="0"/>
          <w:kern w:val="0"/>
          <w:sz w:val="32"/>
          <w:szCs w:val="32"/>
          <w:highlight w:val="none"/>
          <w:u w:val="none"/>
          <w:lang w:val="en-US" w:eastAsia="zh-CN" w:bidi="ar"/>
        </w:rPr>
        <w:t>2.企业主要负责人基本薪酬=基本薪酬基数×基本薪酬调节系数</w:t>
      </w:r>
    </w:p>
    <w:p>
      <w:pPr>
        <w:keepNext w:val="0"/>
        <w:keepLines w:val="0"/>
        <w:pageBreakBefore w:val="0"/>
        <w:widowControl w:val="0"/>
        <w:kinsoku/>
        <w:wordWrap/>
        <w:overflowPunct w:val="0"/>
        <w:topLinePunct w:val="0"/>
        <w:autoSpaceDE/>
        <w:autoSpaceDN/>
        <w:bidi w:val="0"/>
        <w:adjustRightInd/>
        <w:snapToGrid/>
        <w:spacing w:line="200" w:lineRule="exact"/>
        <w:ind w:firstLine="720" w:firstLineChars="200"/>
        <w:jc w:val="both"/>
        <w:textAlignment w:val="auto"/>
        <w:rPr>
          <w:rFonts w:hint="default" w:ascii="Times New Roman" w:hAnsi="Times New Roman" w:eastAsia="方正仿宋简体" w:cs="Times New Roman"/>
          <w:color w:val="auto"/>
          <w:sz w:val="36"/>
          <w:szCs w:val="36"/>
          <w:highlight w:val="none"/>
          <w:u w:val="none"/>
          <w:lang w:val="en-US" w:eastAsia="zh-CN"/>
        </w:rPr>
      </w:pPr>
      <w:r>
        <w:rPr>
          <w:rFonts w:hint="default" w:ascii="Times New Roman" w:hAnsi="Times New Roman" w:eastAsia="方正仿宋简体" w:cs="Times New Roman"/>
          <w:color w:val="auto"/>
          <w:sz w:val="36"/>
          <w:szCs w:val="36"/>
          <w:highlight w:val="none"/>
          <w:u w:val="none"/>
          <w:lang w:val="en-US" w:eastAsia="zh-CN"/>
        </w:rPr>
        <w:br w:type="page"/>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4"/>
          <w:highlight w:val="none"/>
          <w:u w:val="none"/>
          <w:lang w:val="en-US" w:eastAsia="zh-CN"/>
        </w:rPr>
      </w:pPr>
      <w:r>
        <w:rPr>
          <w:rFonts w:hint="default" w:ascii="Times New Roman" w:hAnsi="Times New Roman" w:eastAsia="黑体" w:cs="Times New Roman"/>
          <w:color w:val="auto"/>
          <w:sz w:val="32"/>
          <w:szCs w:val="24"/>
          <w:highlight w:val="none"/>
          <w:u w:val="none"/>
          <w:lang w:val="en-US" w:eastAsia="zh-CN"/>
        </w:rPr>
        <w:t>附件3</w:t>
      </w:r>
    </w:p>
    <w:tbl>
      <w:tblPr>
        <w:tblStyle w:val="10"/>
        <w:tblW w:w="896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4"/>
        <w:gridCol w:w="1148"/>
        <w:gridCol w:w="1149"/>
        <w:gridCol w:w="1149"/>
        <w:gridCol w:w="1149"/>
        <w:gridCol w:w="1149"/>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exact"/>
        </w:trPr>
        <w:tc>
          <w:tcPr>
            <w:tcW w:w="8961" w:type="dxa"/>
            <w:gridSpan w:val="7"/>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iCs w:val="0"/>
                <w:color w:val="auto"/>
                <w:kern w:val="0"/>
                <w:sz w:val="44"/>
                <w:szCs w:val="44"/>
                <w:highlight w:val="none"/>
                <w:u w:val="none"/>
                <w:lang w:val="en-US" w:eastAsia="zh-CN" w:bidi="ar"/>
              </w:rPr>
            </w:pPr>
            <w:r>
              <w:rPr>
                <w:rFonts w:hint="default" w:ascii="Times New Roman" w:hAnsi="Times New Roman" w:eastAsia="方正小标宋简体" w:cs="Times New Roman"/>
                <w:i w:val="0"/>
                <w:iCs w:val="0"/>
                <w:color w:val="auto"/>
                <w:kern w:val="0"/>
                <w:sz w:val="44"/>
                <w:szCs w:val="44"/>
                <w:highlight w:val="none"/>
                <w:u w:val="none"/>
                <w:lang w:val="en-US" w:eastAsia="zh-CN" w:bidi="ar"/>
              </w:rPr>
              <w:t>企业负责人</w:t>
            </w:r>
            <w:r>
              <w:rPr>
                <w:rFonts w:hint="eastAsia" w:ascii="Times New Roman" w:hAnsi="Times New Roman" w:eastAsia="方正小标宋简体" w:cs="Times New Roman"/>
                <w:i w:val="0"/>
                <w:iCs w:val="0"/>
                <w:color w:val="auto"/>
                <w:kern w:val="0"/>
                <w:sz w:val="44"/>
                <w:szCs w:val="44"/>
                <w:highlight w:val="none"/>
                <w:u w:val="none"/>
                <w:lang w:val="en-US" w:eastAsia="zh-CN" w:bidi="ar"/>
              </w:rPr>
              <w:t>绩效薪酬</w:t>
            </w:r>
            <w:r>
              <w:rPr>
                <w:rFonts w:hint="default" w:ascii="Times New Roman" w:hAnsi="Times New Roman" w:eastAsia="方正小标宋简体" w:cs="Times New Roman"/>
                <w:i w:val="0"/>
                <w:iCs w:val="0"/>
                <w:color w:val="auto"/>
                <w:kern w:val="0"/>
                <w:sz w:val="44"/>
                <w:szCs w:val="44"/>
                <w:highlight w:val="none"/>
                <w:u w:val="none"/>
                <w:lang w:val="en-US" w:eastAsia="zh-CN" w:bidi="ar"/>
              </w:rPr>
              <w:t>调节系数确定表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2" w:hRule="exact"/>
        </w:trPr>
        <w:tc>
          <w:tcPr>
            <w:tcW w:w="1714"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pPr>
            <w:r>
              <w:rPr>
                <w:rFonts w:hint="default" w:ascii="Times New Roman" w:hAnsi="Times New Roman" w:eastAsia="方正仿宋简体" w:cs="Times New Roman"/>
                <w:b w:val="0"/>
                <w:bCs w:val="0"/>
                <w:color w:val="auto"/>
                <w:sz w:val="32"/>
                <w:szCs w:val="22"/>
                <w:highlight w:val="none"/>
                <w:u w:val="none"/>
              </w:rPr>
              <mc:AlternateContent>
                <mc:Choice Requires="wps">
                  <w:drawing>
                    <wp:anchor distT="0" distB="0" distL="114300" distR="114300" simplePos="0" relativeHeight="251658240" behindDoc="0" locked="0" layoutInCell="1" allowOverlap="1">
                      <wp:simplePos x="0" y="0"/>
                      <wp:positionH relativeFrom="column">
                        <wp:posOffset>-61595</wp:posOffset>
                      </wp:positionH>
                      <wp:positionV relativeFrom="paragraph">
                        <wp:posOffset>3810</wp:posOffset>
                      </wp:positionV>
                      <wp:extent cx="1082675" cy="603250"/>
                      <wp:effectExtent l="2540" t="4445" r="19685" b="20955"/>
                      <wp:wrapNone/>
                      <wp:docPr id="3" name="直接连接符 3"/>
                      <wp:cNvGraphicFramePr/>
                      <a:graphic xmlns:a="http://schemas.openxmlformats.org/drawingml/2006/main">
                        <a:graphicData uri="http://schemas.microsoft.com/office/word/2010/wordprocessingShape">
                          <wps:wsp>
                            <wps:cNvCnPr/>
                            <wps:spPr>
                              <a:xfrm>
                                <a:off x="969010" y="2118360"/>
                                <a:ext cx="1083310" cy="802640"/>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4.85pt;margin-top:0.3pt;height:47.5pt;width:85.25pt;z-index:251658240;mso-width-relative:page;mso-height-relative:page;" filled="f" stroked="t" coordsize="21600,21600" o:gfxdata="UEsDBAoAAAAAAIdO4kAAAAAAAAAAAAAAAAAEAAAAZHJzL1BLAwQUAAAACACHTuJAVfyzytMAAAAG&#10;AQAADwAAAGRycy9kb3ducmV2LnhtbE2PMU/DMBSEdyT+g/UqsbV2kBJoiNMBKYiFgVIxu/EjiWo/&#10;R7YbF3497gTj6U533zW7izVsQR8mRxKKjQCG1Ds90SDh8NGtH4GFqEgr4wglfGOAXXt706hau0Tv&#10;uOzjwHIJhVpJGGOca85DP6JVYeNmpOx9OW9VzNIPXHuVcrk1/F6Iils1UV4Y1YzPI/an/dlKoCJ+&#10;mpRiWvxP+VIWZfcq3jop71aFeAIW8RL/wnDFz+jQZqajO5MOzEhYbx9yUkIF7OpWIh85StiWFfC2&#10;4f/x219QSwMEFAAAAAgAh07iQPzQZjnQAQAAagMAAA4AAABkcnMvZTJvRG9jLnhtbK1TzY7TMBC+&#10;I/EOlu80SQNRN2q6h62WC4JKwAO4jp1Y8p88pmlfghdA4gYnjtx5G3Yfg7Gb/QFuiBwmM54v38w3&#10;nqwvj0aTgwignO1otSgpEZa7Xtmho+/fXT9bUQKR2Z5pZ0VHTwLo5ebpk/XkW7F0o9O9CARJLLST&#10;7+gYo2+LAvgoDIOF88JiUrpgWMQwDEUf2ITsRhfLsmyKyYXeB8cFAJ5uz0m6yfxSCh7fSAkiEt1R&#10;7C1mG7LdJ1ts1qwdAvOj4nMb7B+6MExZLHpPtWWRkQ9B/UVlFA8OnIwL7kzhpFRcZA2opir/UPN2&#10;ZF5kLTgc8Pdjgv9Hy18fdoGovqM1JZYZvKKbT99/fvxy++Mz2ptvX0mdhjR5aBF7ZXdhjsDvQlJ8&#10;lMGkN2ohx45eNBcohJJTR5dVtaqbecbiGAnHfFWu6joBOCJW5bJ5ngHFA5EPEF8KZ0hyOqqVTTNg&#10;LTu8gojFEXoHScfWXSut8z1qS6aONvWLRM9wm6RmEV3jUR/YgRKmB1xTHkNmBKdVn75OPBCG/ZUO&#10;5MDSquQnCcdqv8FS6S2D8YzLqRmmbaIReenmTtPUznNK3t71pzy+IkV4oZl9Xr60MY9j9B//Ip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fyzytMAAAAGAQAADwAAAAAAAAABACAAAAAiAAAAZHJz&#10;L2Rvd25yZXYueG1sUEsBAhQAFAAAAAgAh07iQPzQZjnQAQAAagMAAA4AAAAAAAAAAQAgAAAAIgEA&#10;AGRycy9lMm9Eb2MueG1sUEsFBgAAAAAGAAYAWQEAAGQFA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 xml:space="preserve">   规模指标    </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 xml:space="preserve">       及权重</w:t>
            </w:r>
          </w:p>
        </w:tc>
        <w:tc>
          <w:tcPr>
            <w:tcW w:w="114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资产总额（亿元）</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净资产总额（亿元）</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营业收入（亿元）</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利润总额（亿元）</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平均从业（人）</w:t>
            </w:r>
          </w:p>
        </w:tc>
        <w:tc>
          <w:tcPr>
            <w:tcW w:w="150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val="0"/>
                <w:bCs w:val="0"/>
                <w:i w:val="0"/>
                <w:iCs w:val="0"/>
                <w:color w:val="auto"/>
                <w:sz w:val="24"/>
                <w:szCs w:val="24"/>
                <w:highlight w:val="none"/>
                <w:u w:val="none"/>
              </w:rPr>
            </w:pPr>
            <w:r>
              <w:rPr>
                <w:rFonts w:hint="default" w:ascii="Times New Roman" w:hAnsi="Times New Roman" w:eastAsia="方正仿宋简体" w:cs="Times New Roman"/>
                <w:b w:val="0"/>
                <w:bCs w:val="0"/>
                <w:i w:val="0"/>
                <w:iCs w:val="0"/>
                <w:color w:val="auto"/>
                <w:kern w:val="0"/>
                <w:sz w:val="24"/>
                <w:szCs w:val="24"/>
                <w:highlight w:val="none"/>
                <w:u w:val="none"/>
                <w:lang w:val="en-US" w:eastAsia="zh-CN" w:bidi="ar"/>
              </w:rPr>
              <w:t>企业功能分类系数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exact"/>
        </w:trPr>
        <w:tc>
          <w:tcPr>
            <w:tcW w:w="171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规模系数值</w:t>
            </w:r>
          </w:p>
        </w:tc>
        <w:tc>
          <w:tcPr>
            <w:tcW w:w="114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20%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30%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20%</w:t>
            </w:r>
          </w:p>
        </w:tc>
        <w:tc>
          <w:tcPr>
            <w:tcW w:w="150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b w:val="0"/>
                <w:bCs w:val="0"/>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exact"/>
        </w:trPr>
        <w:tc>
          <w:tcPr>
            <w:tcW w:w="171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1.25</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100及以上</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35及以上</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30及以上</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2以上</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300以上</w:t>
            </w:r>
          </w:p>
        </w:tc>
        <w:tc>
          <w:tcPr>
            <w:tcW w:w="15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val="0"/>
                <w:bCs w:val="0"/>
                <w:i w:val="0"/>
                <w:iCs w:val="0"/>
                <w:color w:val="auto"/>
                <w:sz w:val="24"/>
                <w:szCs w:val="24"/>
                <w:highlight w:val="none"/>
                <w:u w:val="none"/>
              </w:rPr>
            </w:pPr>
            <w:r>
              <w:rPr>
                <w:rFonts w:hint="default" w:ascii="Times New Roman" w:hAnsi="Times New Roman" w:eastAsia="方正仿宋简体" w:cs="Times New Roman"/>
                <w:b w:val="0"/>
                <w:bCs w:val="0"/>
                <w:i w:val="0"/>
                <w:iCs w:val="0"/>
                <w:color w:val="auto"/>
                <w:kern w:val="0"/>
                <w:sz w:val="24"/>
                <w:szCs w:val="24"/>
                <w:highlight w:val="none"/>
                <w:u w:val="none"/>
                <w:lang w:val="en-US" w:eastAsia="zh-CN" w:bidi="ar"/>
              </w:rPr>
              <w:t>商业一类1.2;</w:t>
            </w:r>
            <w:r>
              <w:rPr>
                <w:rFonts w:hint="default" w:ascii="Times New Roman" w:hAnsi="Times New Roman" w:eastAsia="方正仿宋简体" w:cs="Times New Roman"/>
                <w:b w:val="0"/>
                <w:bCs w:val="0"/>
                <w:i w:val="0"/>
                <w:iCs w:val="0"/>
                <w:color w:val="auto"/>
                <w:kern w:val="0"/>
                <w:sz w:val="24"/>
                <w:szCs w:val="24"/>
                <w:highlight w:val="none"/>
                <w:u w:val="none"/>
                <w:lang w:val="en-US" w:eastAsia="zh-CN" w:bidi="ar"/>
              </w:rPr>
              <w:br w:type="textWrapping"/>
            </w:r>
            <w:r>
              <w:rPr>
                <w:rFonts w:hint="default" w:ascii="Times New Roman" w:hAnsi="Times New Roman" w:eastAsia="方正仿宋简体" w:cs="Times New Roman"/>
                <w:b w:val="0"/>
                <w:bCs w:val="0"/>
                <w:i w:val="0"/>
                <w:iCs w:val="0"/>
                <w:color w:val="auto"/>
                <w:kern w:val="0"/>
                <w:sz w:val="24"/>
                <w:szCs w:val="24"/>
                <w:highlight w:val="none"/>
                <w:u w:val="none"/>
                <w:lang w:val="en-US" w:eastAsia="zh-CN" w:bidi="ar"/>
              </w:rPr>
              <w:t>商业二类1.1;</w:t>
            </w:r>
            <w:r>
              <w:rPr>
                <w:rFonts w:hint="default" w:ascii="Times New Roman" w:hAnsi="Times New Roman" w:eastAsia="方正仿宋简体" w:cs="Times New Roman"/>
                <w:b w:val="0"/>
                <w:bCs w:val="0"/>
                <w:i w:val="0"/>
                <w:iCs w:val="0"/>
                <w:color w:val="auto"/>
                <w:kern w:val="0"/>
                <w:sz w:val="24"/>
                <w:szCs w:val="24"/>
                <w:highlight w:val="none"/>
                <w:u w:val="none"/>
                <w:lang w:val="en-US" w:eastAsia="zh-CN" w:bidi="ar"/>
              </w:rPr>
              <w:br w:type="textWrapping"/>
            </w:r>
            <w:r>
              <w:rPr>
                <w:rFonts w:hint="default" w:ascii="Times New Roman" w:hAnsi="Times New Roman" w:eastAsia="方正仿宋简体" w:cs="Times New Roman"/>
                <w:b w:val="0"/>
                <w:bCs w:val="0"/>
                <w:i w:val="0"/>
                <w:iCs w:val="0"/>
                <w:color w:val="auto"/>
                <w:kern w:val="0"/>
                <w:sz w:val="24"/>
                <w:szCs w:val="24"/>
                <w:highlight w:val="none"/>
                <w:u w:val="none"/>
                <w:lang w:val="en-US" w:eastAsia="zh-CN" w:bidi="ar"/>
              </w:rPr>
              <w:t>公益类1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exact"/>
        </w:trPr>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1.125</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50-100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17.5-35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15-30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200-300</w:t>
            </w:r>
          </w:p>
        </w:tc>
        <w:tc>
          <w:tcPr>
            <w:tcW w:w="15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b w:val="0"/>
                <w:bCs w:val="0"/>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exact"/>
        </w:trPr>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20-50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7-17.5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6-15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0.4-1</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150-200</w:t>
            </w:r>
          </w:p>
        </w:tc>
        <w:tc>
          <w:tcPr>
            <w:tcW w:w="15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b w:val="0"/>
                <w:bCs w:val="0"/>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exact"/>
        </w:trPr>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0.875</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10-20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3.5-7</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3-6</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0.2-0.4</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100-150</w:t>
            </w:r>
          </w:p>
        </w:tc>
        <w:tc>
          <w:tcPr>
            <w:tcW w:w="15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b w:val="0"/>
                <w:bCs w:val="0"/>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exact"/>
        </w:trPr>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0.75</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5-10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1.75-3.5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1.5-3</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0.1-0.2</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50-100</w:t>
            </w:r>
          </w:p>
        </w:tc>
        <w:tc>
          <w:tcPr>
            <w:tcW w:w="15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b w:val="0"/>
                <w:bCs w:val="0"/>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exact"/>
        </w:trPr>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0.625</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0.35-1.75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0.3-1.5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0.02-0.1</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20-50</w:t>
            </w:r>
          </w:p>
        </w:tc>
        <w:tc>
          <w:tcPr>
            <w:tcW w:w="15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b w:val="0"/>
                <w:bCs w:val="0"/>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exact"/>
        </w:trPr>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22"/>
                <w:szCs w:val="22"/>
                <w:highlight w:val="none"/>
                <w:u w:val="none"/>
              </w:rPr>
            </w:pPr>
            <w:r>
              <w:rPr>
                <w:rFonts w:hint="default" w:ascii="Times New Roman" w:hAnsi="Times New Roman" w:eastAsia="方正仿宋简体" w:cs="Times New Roman"/>
                <w:b w:val="0"/>
                <w:bCs w:val="0"/>
                <w:i w:val="0"/>
                <w:iCs w:val="0"/>
                <w:color w:val="auto"/>
                <w:kern w:val="0"/>
                <w:sz w:val="22"/>
                <w:szCs w:val="22"/>
                <w:highlight w:val="none"/>
                <w:u w:val="none"/>
                <w:lang w:val="en-US" w:eastAsia="zh-CN" w:bidi="ar"/>
              </w:rPr>
              <w:t>0.5</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1以下</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0.35以下</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0.3以下</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0.02以下</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val="0"/>
                <w:bCs w:val="0"/>
                <w:i w:val="0"/>
                <w:iCs w:val="0"/>
                <w:color w:val="auto"/>
                <w:sz w:val="18"/>
                <w:szCs w:val="18"/>
                <w:highlight w:val="none"/>
                <w:u w:val="none"/>
              </w:rPr>
            </w:pPr>
            <w:r>
              <w:rPr>
                <w:rFonts w:hint="default" w:ascii="Times New Roman" w:hAnsi="Times New Roman" w:eastAsia="方正仿宋简体" w:cs="Times New Roman"/>
                <w:b w:val="0"/>
                <w:bCs w:val="0"/>
                <w:i w:val="0"/>
                <w:iCs w:val="0"/>
                <w:color w:val="auto"/>
                <w:kern w:val="0"/>
                <w:sz w:val="18"/>
                <w:szCs w:val="18"/>
                <w:highlight w:val="none"/>
                <w:u w:val="none"/>
                <w:lang w:val="en-US" w:eastAsia="zh-CN" w:bidi="ar"/>
              </w:rPr>
              <w:t>20以下</w:t>
            </w:r>
          </w:p>
        </w:tc>
        <w:tc>
          <w:tcPr>
            <w:tcW w:w="15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b w:val="0"/>
                <w:bCs w:val="0"/>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6" w:hRule="exact"/>
        </w:trPr>
        <w:tc>
          <w:tcPr>
            <w:tcW w:w="8961" w:type="dxa"/>
            <w:gridSpan w:val="7"/>
            <w:tcBorders>
              <w:top w:val="nil"/>
              <w:left w:val="nil"/>
              <w:bottom w:val="nil"/>
              <w:right w:val="nil"/>
            </w:tcBorders>
            <w:noWrap/>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b w:val="0"/>
                <w:bCs w:val="0"/>
                <w:i w:val="0"/>
                <w:iCs w:val="0"/>
                <w:color w:val="auto"/>
                <w:sz w:val="32"/>
                <w:szCs w:val="32"/>
                <w:highlight w:val="none"/>
                <w:u w:val="none"/>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1.各分类指标规模系数=起始系数+（企业实际数-该档起始值）/（该档最大值-该档起始值）×（上一档系数值-该档系数值）。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6" w:hRule="exact"/>
        </w:trPr>
        <w:tc>
          <w:tcPr>
            <w:tcW w:w="896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32"/>
                <w:szCs w:val="32"/>
                <w:highlight w:val="none"/>
                <w:u w:val="none"/>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2.绩效薪酬调节系数=规模系数×分类系数，最高为1.25*1.2=1.5。</w:t>
            </w:r>
          </w:p>
        </w:tc>
      </w:tr>
    </w:tbl>
    <w:p>
      <w:pPr>
        <w:rPr>
          <w:rFonts w:hint="default" w:ascii="Times New Roman" w:hAnsi="Times New Roman" w:eastAsia="方正仿宋简体" w:cs="Times New Roman"/>
          <w:sz w:val="22"/>
          <w:szCs w:val="28"/>
          <w:lang w:val="en-US" w:eastAsia="zh-CN"/>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headerReference r:id="rId3" w:type="default"/>
      <w:footerReference r:id="rId4" w:type="default"/>
      <w:pgSz w:w="11906" w:h="16838"/>
      <w:pgMar w:top="1984" w:right="1417" w:bottom="1871"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CESI仿宋-GB2312" w:hAnsi="CESI仿宋-GB2312" w:eastAsia="CESI仿宋-GB2312" w:cs="CESI仿宋-GB2312"/>
                              <w:sz w:val="28"/>
                              <w:szCs w:val="28"/>
                            </w:rPr>
                          </w:pP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ifKccBAAB+AwAADgAAAGRycy9lMm9Eb2MueG1srVNNjtMwFN4jcQfL&#10;e5o0C1RFdUfAaNBII0AaOIDr2I0l28+y3SblAHADVmzYc66eg2en6QzDbsTGeX/+/L7vvayvRmvI&#10;QYaowTG6XNSUSCeg027H6JfPN69WlMTEXccNOMnoUUZ6tXn5Yj34VjbQg+lkIAjiYjt4RvuUfFtV&#10;UfTS8rgALx0mFQTLE7phV3WBD4huTdXU9etqgND5AELGiNHrKUk3BV8pKdJHpaJMxDCKvaVyhnJu&#10;81lt1rzdBe57Lc5t8Gd0Ybl2+OgF6ponTvZB/wNltQgQQaWFAFuBUlrIwgHZLOsnbO577mXhguJE&#10;f5Ep/j9Y8eHwKRDdMdpQ4rjFEZ1+fD/9/H369Y00WZ7Bxxar7j3WpfEtjDjmOR4xmFmPKtj8RT4E&#10;8yj08SKuHBMR+dKqWa1qTAnMzQ7iVw/XfYjpvQRLssFowOkVUfnhLqapdC7Jrzm40caUCRr3VwAx&#10;p4gsK3C+nZlMHWcrjdvxTG8L3RHZ4Rrjqz2Er5QMuBKMOtxZSsytQ8Xz9sxGmI3tbHAn8CKjiZLJ&#10;fJemLdv7oHc94i4Llejf7BP2XejkNqa3UYbs4JCLIOeFzFv02C9VD7/N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xifKccBAAB+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CESI仿宋-GB2312" w:hAnsi="CESI仿宋-GB2312" w:eastAsia="CESI仿宋-GB2312" w:cs="CESI仿宋-GB2312"/>
                        <w:sz w:val="28"/>
                        <w:szCs w:val="28"/>
                      </w:rPr>
                    </w:pP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767F2"/>
    <w:rsid w:val="00423041"/>
    <w:rsid w:val="007B5C26"/>
    <w:rsid w:val="00A4450A"/>
    <w:rsid w:val="00FE6D81"/>
    <w:rsid w:val="01774E5B"/>
    <w:rsid w:val="01CD5FBE"/>
    <w:rsid w:val="052C2FB9"/>
    <w:rsid w:val="09C8705E"/>
    <w:rsid w:val="0B253DC8"/>
    <w:rsid w:val="0F714162"/>
    <w:rsid w:val="0FF72892"/>
    <w:rsid w:val="106C35C6"/>
    <w:rsid w:val="10973936"/>
    <w:rsid w:val="10CA752A"/>
    <w:rsid w:val="11CA0DB0"/>
    <w:rsid w:val="11E078D0"/>
    <w:rsid w:val="11E6140F"/>
    <w:rsid w:val="129A175C"/>
    <w:rsid w:val="13197B77"/>
    <w:rsid w:val="14362235"/>
    <w:rsid w:val="14B34B7B"/>
    <w:rsid w:val="15391184"/>
    <w:rsid w:val="169C0D08"/>
    <w:rsid w:val="17052D44"/>
    <w:rsid w:val="183A1389"/>
    <w:rsid w:val="1A8A0A31"/>
    <w:rsid w:val="1DA977AF"/>
    <w:rsid w:val="1E6D1EA9"/>
    <w:rsid w:val="1F176341"/>
    <w:rsid w:val="22643700"/>
    <w:rsid w:val="23AC07F0"/>
    <w:rsid w:val="23C459EB"/>
    <w:rsid w:val="26B712B4"/>
    <w:rsid w:val="27D2402D"/>
    <w:rsid w:val="282B21A8"/>
    <w:rsid w:val="2BCE1C09"/>
    <w:rsid w:val="2C6F1F8E"/>
    <w:rsid w:val="2FD6610E"/>
    <w:rsid w:val="31801522"/>
    <w:rsid w:val="326E7DAD"/>
    <w:rsid w:val="32CC148B"/>
    <w:rsid w:val="3485702B"/>
    <w:rsid w:val="36116EC4"/>
    <w:rsid w:val="36DE4266"/>
    <w:rsid w:val="3764401B"/>
    <w:rsid w:val="381A75D9"/>
    <w:rsid w:val="38BF4B44"/>
    <w:rsid w:val="395B7AB5"/>
    <w:rsid w:val="3CC530CC"/>
    <w:rsid w:val="3D2E19F5"/>
    <w:rsid w:val="3D9A3A9E"/>
    <w:rsid w:val="3DA8378D"/>
    <w:rsid w:val="3FA806D5"/>
    <w:rsid w:val="41684C7E"/>
    <w:rsid w:val="428C528F"/>
    <w:rsid w:val="42DB19C2"/>
    <w:rsid w:val="454D34AA"/>
    <w:rsid w:val="4A69124C"/>
    <w:rsid w:val="4C6930F0"/>
    <w:rsid w:val="4D0A799C"/>
    <w:rsid w:val="4D5A73E9"/>
    <w:rsid w:val="4DE172E6"/>
    <w:rsid w:val="506D3F41"/>
    <w:rsid w:val="5489570D"/>
    <w:rsid w:val="580344EA"/>
    <w:rsid w:val="58791BED"/>
    <w:rsid w:val="590A40EB"/>
    <w:rsid w:val="5A3724D0"/>
    <w:rsid w:val="5B684755"/>
    <w:rsid w:val="5BFD02F5"/>
    <w:rsid w:val="5C031964"/>
    <w:rsid w:val="5DED085A"/>
    <w:rsid w:val="5EC53F4C"/>
    <w:rsid w:val="602F2D88"/>
    <w:rsid w:val="623A0935"/>
    <w:rsid w:val="64321FAC"/>
    <w:rsid w:val="64B95DC4"/>
    <w:rsid w:val="665F4E79"/>
    <w:rsid w:val="67D354E9"/>
    <w:rsid w:val="6BDC79A5"/>
    <w:rsid w:val="6BEF5483"/>
    <w:rsid w:val="6C8767F2"/>
    <w:rsid w:val="6C9B0F5A"/>
    <w:rsid w:val="6CD5347C"/>
    <w:rsid w:val="6E3F1F3E"/>
    <w:rsid w:val="6EF82E63"/>
    <w:rsid w:val="71896EFB"/>
    <w:rsid w:val="719E5174"/>
    <w:rsid w:val="72E96AC0"/>
    <w:rsid w:val="737266F7"/>
    <w:rsid w:val="76D923E9"/>
    <w:rsid w:val="77A90B23"/>
    <w:rsid w:val="795B7E23"/>
    <w:rsid w:val="7A56177B"/>
    <w:rsid w:val="7A8D1A9F"/>
    <w:rsid w:val="7B5D7EB4"/>
    <w:rsid w:val="7BB0415E"/>
    <w:rsid w:val="7CC024DB"/>
    <w:rsid w:val="7DA40ABF"/>
    <w:rsid w:val="7F265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link w:val="12"/>
    <w:qFormat/>
    <w:uiPriority w:val="9"/>
    <w:pPr>
      <w:keepNext/>
      <w:keepLines/>
      <w:spacing w:before="480" w:after="80"/>
      <w:outlineLvl w:val="0"/>
    </w:pPr>
    <w:rPr>
      <w:rFonts w:ascii="Cambria" w:hAnsi="Cambria" w:eastAsia="方正楷体简体" w:cs="Times New Roman"/>
      <w:color w:val="000000"/>
      <w:sz w:val="36"/>
      <w:szCs w:val="48"/>
    </w:rPr>
  </w:style>
  <w:style w:type="paragraph" w:styleId="5">
    <w:name w:val="heading 3"/>
    <w:basedOn w:val="1"/>
    <w:next w:val="6"/>
    <w:unhideWhenUsed/>
    <w:qFormat/>
    <w:uiPriority w:val="9"/>
    <w:pPr>
      <w:keepNext/>
      <w:keepLines/>
      <w:spacing w:before="30" w:beforeLines="30" w:after="30" w:afterLines="30" w:line="360" w:lineRule="auto"/>
      <w:ind w:firstLine="803" w:firstLineChars="200"/>
      <w:jc w:val="left"/>
      <w:outlineLvl w:val="2"/>
    </w:pPr>
    <w:rPr>
      <w:rFonts w:ascii="宋体" w:hAnsi="宋体"/>
      <w:b/>
      <w:bCs/>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BodyText1I2"/>
    <w:basedOn w:val="3"/>
    <w:qFormat/>
    <w:uiPriority w:val="99"/>
    <w:pPr>
      <w:ind w:firstLine="200"/>
    </w:pPr>
  </w:style>
  <w:style w:type="paragraph" w:customStyle="1" w:styleId="3">
    <w:name w:val="BodyTextIndent"/>
    <w:basedOn w:val="1"/>
    <w:qFormat/>
    <w:uiPriority w:val="99"/>
    <w:pPr>
      <w:ind w:left="420"/>
    </w:pPr>
  </w:style>
  <w:style w:type="paragraph" w:styleId="6">
    <w:name w:val="Normal Indent"/>
    <w:basedOn w:val="1"/>
    <w:next w:val="1"/>
    <w:qFormat/>
    <w:uiPriority w:val="0"/>
    <w:pPr>
      <w:ind w:firstLine="420" w:firstLineChars="200"/>
    </w:pPr>
    <w:rPr>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标题 1 Char"/>
    <w:link w:val="4"/>
    <w:qFormat/>
    <w:uiPriority w:val="9"/>
    <w:rPr>
      <w:rFonts w:ascii="Cambria" w:hAnsi="Cambria" w:eastAsia="方正楷体简体" w:cs="Times New Roman"/>
      <w:color w:val="000000"/>
      <w:sz w:val="36"/>
      <w:szCs w:val="48"/>
    </w:rPr>
  </w:style>
  <w:style w:type="character" w:customStyle="1" w:styleId="13">
    <w:name w:val="font61"/>
    <w:basedOn w:val="11"/>
    <w:qFormat/>
    <w:uiPriority w:val="0"/>
    <w:rPr>
      <w:rFonts w:hint="default" w:ascii="Times New Roman" w:hAnsi="Times New Roman" w:cs="Times New Roman"/>
      <w:color w:val="000000"/>
      <w:sz w:val="24"/>
      <w:szCs w:val="24"/>
      <w:u w:val="none"/>
    </w:rPr>
  </w:style>
  <w:style w:type="character" w:customStyle="1" w:styleId="14">
    <w:name w:val="font5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2025-07-14T09:15:00Z</dcterms:created>
  <dc:creator>Nico1398231368</dc:creator>
  <cp:lastModifiedBy>Administrator</cp:lastModifiedBy>
  <cp:lastPrinted>2025-08-28T05:41:00Z</cp:lastPrinted>
  <dcterms:modified xsi:type="dcterms:W3CDTF">2025-08-28T05:44:47Z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