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 xml:space="preserve"> </w:t>
      </w:r>
    </w:p>
    <w:p>
      <w:pPr>
        <w:pStyle w:val="2"/>
      </w:pPr>
    </w:p>
    <w:p>
      <w:pPr>
        <w:pStyle w:val="2"/>
      </w:pP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奎屯市社会保险基金支出</w:t>
      </w: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kern w:val="0"/>
          <w:sz w:val="48"/>
          <w:szCs w:val="48"/>
        </w:rPr>
        <w:t>20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2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2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实施单位（公章）：奎屯市社会保险管理局</w:t>
      </w: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负责人（签章）：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王邕</w:t>
      </w:r>
    </w:p>
    <w:p>
      <w:pPr>
        <w:spacing w:line="56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20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年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月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1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3日</w:t>
      </w: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一、社会保险基金收支余总体情况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（一）社会保险基金总体情况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，在奎屯市人社局、财政局的大力支持和共同努力下，奎屯市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年奎屯市各项基金总收入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29144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万元，较上年增加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2157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7.99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，完成年度预算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96.15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28431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万元，较上年增加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1977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7.47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，完成年度预算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96.34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</w:t>
      </w:r>
    </w:p>
    <w:tbl>
      <w:tblPr>
        <w:tblStyle w:val="18"/>
        <w:tblW w:w="857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0"/>
        <w:gridCol w:w="1521"/>
        <w:gridCol w:w="1520"/>
        <w:gridCol w:w="1520"/>
        <w:gridCol w:w="1521"/>
        <w:gridCol w:w="574"/>
        <w:gridCol w:w="40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02" w:type="dxa"/>
          <w:trHeight w:val="780" w:hRule="atLeast"/>
        </w:trPr>
        <w:tc>
          <w:tcPr>
            <w:tcW w:w="8176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2022年奎屯市社保基金收支分析表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4" w:hRule="atLeast"/>
        </w:trPr>
        <w:tc>
          <w:tcPr>
            <w:tcW w:w="304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险种</w:t>
            </w:r>
          </w:p>
        </w:tc>
        <w:tc>
          <w:tcPr>
            <w:tcW w:w="152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机关事业养老</w:t>
            </w:r>
          </w:p>
        </w:tc>
        <w:tc>
          <w:tcPr>
            <w:tcW w:w="152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城乡养老</w:t>
            </w:r>
          </w:p>
        </w:tc>
        <w:tc>
          <w:tcPr>
            <w:tcW w:w="1521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合计：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Style w:val="49"/>
                <w:rFonts w:hAnsi="宋体"/>
                <w:lang w:val="en-US" w:eastAsia="zh-CN" w:bidi="ar"/>
              </w:rPr>
              <w:t>22年预算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基金收入小计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29760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30311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基金支出小计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29322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29512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left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2021年决算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基金收入小计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26486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26987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基金支出小计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26291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26454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  <w:r>
              <w:rPr>
                <w:rStyle w:val="49"/>
                <w:rFonts w:hAnsi="宋体"/>
                <w:lang w:val="en-US" w:eastAsia="zh-CN" w:bidi="ar"/>
              </w:rPr>
              <w:t>22年决算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基金收入小计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28607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29144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基金支出小计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28243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28431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收入对比分析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2121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2157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增幅%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8.01%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7.19%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7.99%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执行预算%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96.13%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97.46%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96.15%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支出对比分析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增长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1952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增幅%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7.42%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15.34%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7.47%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执行预算%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96.32%</w:t>
            </w:r>
          </w:p>
        </w:tc>
        <w:tc>
          <w:tcPr>
            <w:tcW w:w="152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98.95%</w:t>
            </w:r>
          </w:p>
        </w:tc>
        <w:tc>
          <w:tcPr>
            <w:tcW w:w="1521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96.34%</w:t>
            </w:r>
          </w:p>
        </w:tc>
        <w:tc>
          <w:tcPr>
            <w:tcW w:w="976" w:type="dxa"/>
            <w:gridSpan w:val="2"/>
            <w:vAlign w:val="center"/>
          </w:tcPr>
          <w:p/>
        </w:tc>
      </w:tr>
    </w:tbl>
    <w:p>
      <w:pPr>
        <w:pStyle w:val="2"/>
      </w:pP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（二）社会保险基金支出预算绩效目标设定情况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（包括基金支出预算目标及阶段性目标；项目用途和主要内容、涉及对象及人数范围等）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ascii="仿宋_GB2312" w:hAnsi="仿宋_GB2312" w:eastAsia="仿宋_GB2312" w:cs="仿宋_GB2312"/>
          <w:bCs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预算奎屯市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机关事业养老保险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29322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kern w:val="0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其中：基本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养老金待遇支出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29222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4068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人的基本养老金待遇发放。全年预算支出执行目标</w:t>
      </w:r>
      <w:r>
        <w:rPr>
          <w:rFonts w:ascii="仿宋_GB2312" w:hAnsi="仿宋_GB2312" w:eastAsia="仿宋_GB2312" w:cs="仿宋_GB2312"/>
          <w:bCs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以上，奎屯市承诺在每月20日前按时足额发放养老金，首次待遇发放准确率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ascii="仿宋_GB2312" w:hAnsi="仿宋_GB2312" w:eastAsia="仿宋_GB2312" w:cs="仿宋_GB2312"/>
          <w:bCs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预算奎屯市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城乡居民养老保险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kern w:val="0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其中：基础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养老金支出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189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全年保障城乡居民离退休人员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787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人的基本养老金待遇发放。全年预算支出执行目标</w:t>
      </w:r>
      <w:r>
        <w:rPr>
          <w:rFonts w:ascii="仿宋_GB2312" w:hAnsi="仿宋_GB2312" w:eastAsia="仿宋_GB2312" w:cs="仿宋_GB2312"/>
          <w:bCs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以上，奎屯市承诺在每月25日前按时足额发放养老金，首次待遇发放准确率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二、各项社会保险基金预算完成及运行情况</w:t>
      </w:r>
    </w:p>
    <w:p>
      <w:pPr>
        <w:spacing w:line="560" w:lineRule="exact"/>
        <w:ind w:firstLine="567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eastAsia="zh-CN"/>
        </w:rPr>
        <w:t>一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）机关事业单位养老保险基金预算完成及运行情况分析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年度</w:t>
      </w:r>
      <w:r>
        <w:rPr>
          <w:rFonts w:hint="eastAsia" w:ascii="仿宋_GB2312" w:hAnsi="宋体" w:eastAsia="仿宋_GB2312"/>
          <w:sz w:val="30"/>
          <w:szCs w:val="30"/>
        </w:rPr>
        <w:t>机关事业单位</w:t>
      </w:r>
      <w:r>
        <w:rPr>
          <w:rFonts w:hint="eastAsia" w:ascii="仿宋_GB2312" w:eastAsia="仿宋_GB2312"/>
          <w:sz w:val="30"/>
          <w:szCs w:val="30"/>
        </w:rPr>
        <w:t>养老保险基金收入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28607</w:t>
      </w:r>
      <w:r>
        <w:rPr>
          <w:rFonts w:hint="eastAsia" w:ascii="仿宋_GB2312" w:eastAsia="仿宋_GB2312"/>
          <w:sz w:val="30"/>
          <w:szCs w:val="30"/>
        </w:rPr>
        <w:t>万元，其中：保费收入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12336</w:t>
      </w:r>
      <w:r>
        <w:rPr>
          <w:rFonts w:hint="eastAsia" w:ascii="仿宋_GB2312" w:eastAsia="仿宋_GB2312"/>
          <w:sz w:val="30"/>
          <w:szCs w:val="30"/>
        </w:rPr>
        <w:t>万元、利息收入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14</w:t>
      </w:r>
      <w:r>
        <w:rPr>
          <w:rFonts w:hint="eastAsia" w:ascii="仿宋_GB2312" w:eastAsia="仿宋_GB2312"/>
          <w:sz w:val="30"/>
          <w:szCs w:val="30"/>
        </w:rPr>
        <w:t>万元、财政补助收入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12705</w:t>
      </w:r>
      <w:r>
        <w:rPr>
          <w:rFonts w:hint="eastAsia" w:ascii="仿宋_GB2312" w:eastAsia="仿宋_GB2312"/>
          <w:sz w:val="30"/>
          <w:szCs w:val="30"/>
        </w:rPr>
        <w:t>万元，其他收入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万元，转移收入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298</w:t>
      </w:r>
      <w:r>
        <w:rPr>
          <w:rFonts w:hint="eastAsia" w:ascii="仿宋_GB2312" w:eastAsia="仿宋_GB2312"/>
          <w:sz w:val="30"/>
          <w:szCs w:val="30"/>
        </w:rPr>
        <w:t>万元。基金总支出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28243</w:t>
      </w:r>
      <w:r>
        <w:rPr>
          <w:rFonts w:hint="eastAsia" w:ascii="仿宋_GB2312" w:eastAsia="仿宋_GB2312"/>
          <w:sz w:val="30"/>
          <w:szCs w:val="30"/>
        </w:rPr>
        <w:t>万元，其中：基本养老金支出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28115</w:t>
      </w:r>
      <w:r>
        <w:rPr>
          <w:rFonts w:hint="eastAsia" w:ascii="仿宋_GB2312" w:eastAsia="仿宋_GB2312"/>
          <w:sz w:val="30"/>
          <w:szCs w:val="30"/>
        </w:rPr>
        <w:t>万元，转移支出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123</w:t>
      </w:r>
      <w:r>
        <w:rPr>
          <w:rFonts w:hint="eastAsia" w:ascii="仿宋_GB2312" w:eastAsia="仿宋_GB2312"/>
          <w:sz w:val="30"/>
          <w:szCs w:val="30"/>
        </w:rPr>
        <w:t>万元。滚存结余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1198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年机关事业单位养老保险基金保费收入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12336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999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8.81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100.21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spacing w:line="56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年机关事业单位养老保险基金待遇支出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28115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1917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7.32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96.21</w:t>
      </w:r>
      <w:r>
        <w:rPr>
          <w:rFonts w:hint="eastAsia" w:ascii="仿宋_GB2312" w:eastAsia="仿宋_GB2312"/>
          <w:sz w:val="30"/>
          <w:szCs w:val="30"/>
        </w:rPr>
        <w:t xml:space="preserve">%。   </w:t>
      </w:r>
    </w:p>
    <w:p>
      <w:pPr>
        <w:spacing w:line="560" w:lineRule="exact"/>
        <w:ind w:firstLine="567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eastAsia="zh-CN"/>
        </w:rPr>
        <w:t>二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）城乡居民养老保险基金预算完成及运行情况分析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年度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537</w:t>
      </w:r>
      <w:r>
        <w:rPr>
          <w:rFonts w:hint="eastAsia" w:ascii="仿宋_GB2312" w:eastAsia="仿宋_GB2312"/>
          <w:sz w:val="30"/>
          <w:szCs w:val="30"/>
        </w:rPr>
        <w:t>万元，其中：个人缴费收入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333</w:t>
      </w:r>
      <w:r>
        <w:rPr>
          <w:rFonts w:hint="eastAsia" w:ascii="仿宋_GB2312" w:eastAsia="仿宋_GB2312"/>
          <w:sz w:val="30"/>
          <w:szCs w:val="30"/>
        </w:rPr>
        <w:t>万元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</w:rPr>
        <w:t>利息收入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万元、财政补助收入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177</w:t>
      </w:r>
      <w:r>
        <w:rPr>
          <w:rFonts w:hint="eastAsia" w:ascii="仿宋_GB2312" w:eastAsia="仿宋_GB2312"/>
          <w:sz w:val="30"/>
          <w:szCs w:val="30"/>
        </w:rPr>
        <w:t>万元，转移收入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万元。基金总支出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188</w:t>
      </w:r>
      <w:r>
        <w:rPr>
          <w:rFonts w:hint="eastAsia" w:ascii="仿宋_GB2312" w:eastAsia="仿宋_GB2312"/>
          <w:sz w:val="30"/>
          <w:szCs w:val="30"/>
        </w:rPr>
        <w:t>万元，其中：基础养老金支出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142</w:t>
      </w:r>
      <w:r>
        <w:rPr>
          <w:rFonts w:hint="eastAsia" w:ascii="仿宋_GB2312" w:eastAsia="仿宋_GB2312"/>
          <w:sz w:val="30"/>
          <w:szCs w:val="30"/>
        </w:rPr>
        <w:t>万元，个人账户支出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36</w:t>
      </w:r>
      <w:r>
        <w:rPr>
          <w:rFonts w:hint="eastAsia" w:ascii="仿宋_GB2312" w:eastAsia="仿宋_GB2312"/>
          <w:sz w:val="30"/>
          <w:szCs w:val="30"/>
        </w:rPr>
        <w:t>万元，丧葬补助支出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万元，转移支出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</w:rPr>
        <w:t>万元。滚存结余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2570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个人缴费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333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36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12.12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111.37</w:t>
      </w:r>
      <w:r>
        <w:rPr>
          <w:rFonts w:hint="eastAsia" w:ascii="仿宋_GB2312" w:eastAsia="仿宋_GB2312"/>
          <w:sz w:val="30"/>
          <w:szCs w:val="30"/>
        </w:rPr>
        <w:t>%。财政补助收入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177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15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9.26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98.33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spacing w:line="56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180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10.43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95.24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numPr>
          <w:ilvl w:val="0"/>
          <w:numId w:val="1"/>
        </w:num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各项社会保险基金支出组织实施情况和绩效管理情况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（一）社会保险管理情况分析</w:t>
      </w:r>
    </w:p>
    <w:p>
      <w:pPr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企业养老保险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shd w:val="clear" w:color="auto" w:fill="FFFFFF"/>
        </w:rPr>
        <w:t>进一步完善基本养老保险省级统筹制度，规范企业职工基本养老保险缴费政策，通过规范一次性补费、灵活就业人员缴费比例等政策。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年是自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2005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年以来，连续第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年调整企业退休人员养老金，也是机关事业养老保险制度改革后，连续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同步调整机关事业单位退休人员养老金待遇。聚焦总目标，确保城乡居民退休人员按政策及时足额领取待遇，有效保障城乡居民养老待遇问题，减轻家庭负担，维持基本安定生活，达到预期目标，确保了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（二）绩效目标完成情况分析</w:t>
      </w:r>
    </w:p>
    <w:p>
      <w:pPr>
        <w:spacing w:line="560" w:lineRule="exact"/>
        <w:ind w:firstLine="584" w:firstLineChars="200"/>
        <w:rPr>
          <w:rFonts w:ascii="仿宋_GB2312" w:hAnsi="仿宋_GB2312" w:eastAsia="仿宋_GB2312" w:cs="仿宋_GB2312"/>
          <w:bCs/>
          <w:spacing w:val="-4"/>
          <w:sz w:val="30"/>
          <w:szCs w:val="30"/>
        </w:rPr>
      </w:pP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年奎屯市各项社会保险基金支出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28431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万元，完成年度支出预算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29512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万元的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96.34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。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年全年奎屯市没有因为参保职工待遇问题引起上访等社会问题，群众上访率为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。各项社会保险待遇也在规定时限内报销或足额领取待遇，社会满意度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以上，圆满保障了退休人员的晚年生活和在职参保人员的工伤、失业等切身利益问题，坚定维护了新疆社会稳定和长治久安。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val="en-US" w:eastAsia="zh-CN"/>
        </w:rPr>
        <w:t>1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、机关事业单位养老保险基金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年机关事业单位养老保险基金待遇支出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28115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1917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7.32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96.21</w:t>
      </w:r>
      <w:r>
        <w:rPr>
          <w:rFonts w:hint="eastAsia" w:ascii="仿宋_GB2312" w:eastAsia="仿宋_GB2312"/>
          <w:sz w:val="30"/>
          <w:szCs w:val="30"/>
        </w:rPr>
        <w:t>%。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每月20日前按时足额发放养老金，首次待遇发放准确率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年机关事业单位养老保险</w:t>
      </w:r>
      <w:r>
        <w:rPr>
          <w:rFonts w:hint="eastAsia" w:ascii="仿宋_GB2312" w:hAnsi="仿宋_GB2312" w:eastAsia="仿宋_GB2312"/>
          <w:bCs/>
          <w:sz w:val="30"/>
          <w:szCs w:val="30"/>
        </w:rPr>
        <w:t>离退休人员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3816</w:t>
      </w:r>
      <w:r>
        <w:rPr>
          <w:rFonts w:hint="eastAsia" w:ascii="仿宋_GB2312" w:hAnsi="仿宋_GB2312" w:eastAsia="仿宋_GB2312"/>
          <w:bCs/>
          <w:sz w:val="30"/>
          <w:szCs w:val="30"/>
        </w:rPr>
        <w:t>人较上年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3783</w:t>
      </w:r>
      <w:r>
        <w:rPr>
          <w:rFonts w:hint="eastAsia" w:ascii="仿宋_GB2312" w:hAnsi="仿宋_GB2312" w:eastAsia="仿宋_GB2312"/>
          <w:bCs/>
          <w:sz w:val="30"/>
          <w:szCs w:val="30"/>
        </w:rPr>
        <w:t>人增加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33</w:t>
      </w:r>
      <w:r>
        <w:rPr>
          <w:rFonts w:hint="eastAsia" w:ascii="仿宋_GB2312" w:hAnsi="仿宋_GB2312" w:eastAsia="仿宋_GB2312"/>
          <w:bCs/>
          <w:sz w:val="30"/>
          <w:szCs w:val="30"/>
        </w:rPr>
        <w:t>人，增长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0.87</w:t>
      </w:r>
      <w:r>
        <w:rPr>
          <w:rFonts w:hint="eastAsia" w:ascii="仿宋_GB2312" w:hAnsi="仿宋_GB2312" w:eastAsia="仿宋_GB2312"/>
          <w:bCs/>
          <w:sz w:val="30"/>
          <w:szCs w:val="30"/>
        </w:rPr>
        <w:t>%，</w:t>
      </w:r>
      <w:r>
        <w:rPr>
          <w:rFonts w:hint="eastAsia" w:ascii="仿宋_GB2312" w:eastAsia="仿宋_GB2312"/>
          <w:sz w:val="30"/>
          <w:szCs w:val="30"/>
        </w:rPr>
        <w:t>全年增加基本养老金支出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1917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val="en-US" w:eastAsia="zh-CN"/>
        </w:rPr>
        <w:t>2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、城乡居民养老保险基金</w:t>
      </w:r>
    </w:p>
    <w:p>
      <w:pPr>
        <w:spacing w:line="360" w:lineRule="auto"/>
        <w:jc w:val="left"/>
      </w:pPr>
      <w:r>
        <w:rPr>
          <w:rFonts w:hint="eastAsia" w:ascii="仿宋_GB2312" w:eastAsia="仿宋_GB2312"/>
          <w:sz w:val="30"/>
          <w:szCs w:val="30"/>
        </w:rPr>
        <w:t xml:space="preserve">   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180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10.43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95.24</w:t>
      </w:r>
      <w:r>
        <w:rPr>
          <w:rFonts w:hint="eastAsia" w:ascii="仿宋_GB2312" w:eastAsia="仿宋_GB2312"/>
          <w:sz w:val="30"/>
          <w:szCs w:val="30"/>
        </w:rPr>
        <w:t>%。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每月25日前按时足额发放养老金，首次待遇发放准确率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四、其他需要说明的问题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（一）后续工作计划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继续聚焦总目标，确保城乡居民退休人员按政策及时足额领取城乡养老保险待遇，减轻家庭负担，维持基本安定生活，确保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（二）主要经验及做法、存在问题和建议</w:t>
      </w:r>
    </w:p>
    <w:p>
      <w:pPr>
        <w:spacing w:line="580" w:lineRule="exact"/>
        <w:ind w:firstLine="600" w:firstLineChars="200"/>
        <w:rPr>
          <w:rFonts w:ascii="仿宋_GB2312" w:hAnsi="宋体" w:eastAsia="仿宋_GB2312" w:cs="仿宋_GB2312"/>
          <w:sz w:val="30"/>
          <w:szCs w:val="30"/>
        </w:rPr>
      </w:pPr>
      <w:r>
        <w:rPr>
          <w:rFonts w:ascii="仿宋_GB2312" w:hAnsi="宋体" w:eastAsia="仿宋_GB2312" w:cs="仿宋_GB2312"/>
          <w:sz w:val="30"/>
          <w:szCs w:val="30"/>
        </w:rPr>
        <w:t>202</w:t>
      </w:r>
      <w:r>
        <w:rPr>
          <w:rFonts w:hint="eastAsia" w:ascii="仿宋_GB2312" w:hAnsi="宋体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年是实施“十</w:t>
      </w:r>
      <w:r>
        <w:rPr>
          <w:rFonts w:hint="eastAsia" w:ascii="仿宋_GB2312" w:hAnsi="宋体" w:eastAsia="仿宋_GB2312" w:cs="仿宋_GB2312"/>
          <w:sz w:val="30"/>
          <w:szCs w:val="30"/>
          <w:lang w:eastAsia="zh-CN"/>
        </w:rPr>
        <w:t>四</w:t>
      </w:r>
      <w:r>
        <w:rPr>
          <w:rFonts w:hint="eastAsia" w:ascii="仿宋_GB2312" w:hAnsi="宋体" w:eastAsia="仿宋_GB2312" w:cs="仿宋_GB2312"/>
          <w:sz w:val="30"/>
          <w:szCs w:val="30"/>
        </w:rPr>
        <w:t>五”规划的重要一年，也是社会保障事业发展进入新阶段、实现新发展的关键之年。奎屯市以基金安全运行为根本，以提高管理服务水平为重点，严格执行社会保险各项政策，建立健全内部控制制度，确保待遇发放，基金运行总体平稳。通过连续几年为企业减负，降低参保企业单位缴费费率，同时逐步提高各项保险待遇支付标准，使参保人员的获得感、幸福感不断增强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奎屯市各级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财务与业务按月对账，按规定与基金开户银行、财政部门和上下级经办机构等核对基金的收付情况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严格执行基金支付政策，按月编制基金支付计划，按月足额发放待遇，做到不拖欠、不挪用、不挤占社保基金。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但还存在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以下两个方面的问题：一是基金收支平衡压力大，支付风险逐步显现。通过连续几年为企业减负，降低参保企业单位缴费费率，同时逐步提高各项保险待遇支付标准，奎屯市基本养老保险、工伤保险基金已出现当期收不抵制现象，制度可持续发展面临新挑战。二是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工作人员岗位变动频繁，业务经办水平有待提高，对业务经办人员的培训工作有待加强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。</w:t>
      </w:r>
      <w:bookmarkStart w:id="0" w:name="_GoBack"/>
      <w:bookmarkEnd w:id="0"/>
    </w:p>
    <w:p>
      <w:pPr>
        <w:spacing w:line="560" w:lineRule="exact"/>
        <w:ind w:firstLine="645"/>
        <w:jc w:val="left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下一步奎屯市要进一步抓好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全力推进“全民参保计划”，积极采取措施、创新机制，扩大社会保险覆盖面，强化基金征缴，做到应收尽收，不漏死角。同时做好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内部控制风险防控工作，加大对经办工作的监督检查，纠正和堵塞经办环节的漏洞和薄弱点，规范经办机构合理运行，确保基金安全。</w:t>
      </w:r>
    </w:p>
    <w:p>
      <w:pPr>
        <w:spacing w:line="560" w:lineRule="exact"/>
        <w:ind w:firstLine="640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五、附表</w:t>
      </w:r>
    </w:p>
    <w:p>
      <w:pPr>
        <w:spacing w:line="560" w:lineRule="exact"/>
        <w:ind w:firstLine="567"/>
        <w:jc w:val="left"/>
        <w:rPr>
          <w:rFonts w:ascii="仿宋_GB2312" w:hAnsi="仿宋_GB2312" w:eastAsia="仿宋_GB2312" w:cs="仿宋_GB2312"/>
          <w:bCs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奎屯市社会保险支出绩效自评表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6F9A22"/>
    <w:multiLevelType w:val="singleLevel"/>
    <w:tmpl w:val="A16F9A22"/>
    <w:lvl w:ilvl="0" w:tentative="0">
      <w:start w:val="3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616B1"/>
    <w:rsid w:val="00073990"/>
    <w:rsid w:val="00093E7D"/>
    <w:rsid w:val="000F02D1"/>
    <w:rsid w:val="000F7CE4"/>
    <w:rsid w:val="00121AE4"/>
    <w:rsid w:val="00130BC3"/>
    <w:rsid w:val="001455CB"/>
    <w:rsid w:val="00146AAD"/>
    <w:rsid w:val="00154CB3"/>
    <w:rsid w:val="001746E5"/>
    <w:rsid w:val="00180094"/>
    <w:rsid w:val="001B3A40"/>
    <w:rsid w:val="001B6CEB"/>
    <w:rsid w:val="001E2628"/>
    <w:rsid w:val="00230591"/>
    <w:rsid w:val="002419B2"/>
    <w:rsid w:val="002925E4"/>
    <w:rsid w:val="00295B72"/>
    <w:rsid w:val="002B264F"/>
    <w:rsid w:val="002C1C06"/>
    <w:rsid w:val="002C4738"/>
    <w:rsid w:val="00325819"/>
    <w:rsid w:val="00353E00"/>
    <w:rsid w:val="00355278"/>
    <w:rsid w:val="003850A2"/>
    <w:rsid w:val="00392327"/>
    <w:rsid w:val="003B43F7"/>
    <w:rsid w:val="003C423A"/>
    <w:rsid w:val="004366A8"/>
    <w:rsid w:val="0047649E"/>
    <w:rsid w:val="00495A38"/>
    <w:rsid w:val="004973F4"/>
    <w:rsid w:val="004B08D4"/>
    <w:rsid w:val="004B0E8D"/>
    <w:rsid w:val="004B1950"/>
    <w:rsid w:val="004C5906"/>
    <w:rsid w:val="00502BA7"/>
    <w:rsid w:val="0051288D"/>
    <w:rsid w:val="00513265"/>
    <w:rsid w:val="00515CC0"/>
    <w:rsid w:val="005162F1"/>
    <w:rsid w:val="00535153"/>
    <w:rsid w:val="00536224"/>
    <w:rsid w:val="00542052"/>
    <w:rsid w:val="00554F82"/>
    <w:rsid w:val="0056390D"/>
    <w:rsid w:val="005719B0"/>
    <w:rsid w:val="00572C00"/>
    <w:rsid w:val="005A37B0"/>
    <w:rsid w:val="005D10D6"/>
    <w:rsid w:val="00635E24"/>
    <w:rsid w:val="00656DF7"/>
    <w:rsid w:val="006D072B"/>
    <w:rsid w:val="006F1484"/>
    <w:rsid w:val="00702D65"/>
    <w:rsid w:val="007142D2"/>
    <w:rsid w:val="00741077"/>
    <w:rsid w:val="00743DE7"/>
    <w:rsid w:val="00774FC7"/>
    <w:rsid w:val="00775BA0"/>
    <w:rsid w:val="007A225B"/>
    <w:rsid w:val="007A2534"/>
    <w:rsid w:val="007E0941"/>
    <w:rsid w:val="00810E7C"/>
    <w:rsid w:val="00847D1B"/>
    <w:rsid w:val="00855E3A"/>
    <w:rsid w:val="0087112D"/>
    <w:rsid w:val="00892FAA"/>
    <w:rsid w:val="008B48FB"/>
    <w:rsid w:val="008E231B"/>
    <w:rsid w:val="00922CB9"/>
    <w:rsid w:val="00962F90"/>
    <w:rsid w:val="009949C3"/>
    <w:rsid w:val="009B5D7E"/>
    <w:rsid w:val="009C31E6"/>
    <w:rsid w:val="009E5CD9"/>
    <w:rsid w:val="009F1898"/>
    <w:rsid w:val="009F4E7D"/>
    <w:rsid w:val="00A10A32"/>
    <w:rsid w:val="00A26421"/>
    <w:rsid w:val="00A4293B"/>
    <w:rsid w:val="00A64271"/>
    <w:rsid w:val="00A67D50"/>
    <w:rsid w:val="00A8691A"/>
    <w:rsid w:val="00A91E25"/>
    <w:rsid w:val="00AA7A54"/>
    <w:rsid w:val="00AC1946"/>
    <w:rsid w:val="00AD4AD7"/>
    <w:rsid w:val="00AE3ABB"/>
    <w:rsid w:val="00AE6920"/>
    <w:rsid w:val="00B40063"/>
    <w:rsid w:val="00B41F61"/>
    <w:rsid w:val="00B43600"/>
    <w:rsid w:val="00B6066F"/>
    <w:rsid w:val="00B85B62"/>
    <w:rsid w:val="00BA1E8B"/>
    <w:rsid w:val="00BA46E6"/>
    <w:rsid w:val="00BA5436"/>
    <w:rsid w:val="00BA6F1C"/>
    <w:rsid w:val="00BB200C"/>
    <w:rsid w:val="00BC5DAB"/>
    <w:rsid w:val="00BD7F0D"/>
    <w:rsid w:val="00C0269D"/>
    <w:rsid w:val="00C10424"/>
    <w:rsid w:val="00C40C09"/>
    <w:rsid w:val="00C55314"/>
    <w:rsid w:val="00C56C72"/>
    <w:rsid w:val="00C600B2"/>
    <w:rsid w:val="00C70524"/>
    <w:rsid w:val="00CA6457"/>
    <w:rsid w:val="00CA6673"/>
    <w:rsid w:val="00CD2BA8"/>
    <w:rsid w:val="00CD2C81"/>
    <w:rsid w:val="00CE1281"/>
    <w:rsid w:val="00D17BA8"/>
    <w:rsid w:val="00D17F2E"/>
    <w:rsid w:val="00D25887"/>
    <w:rsid w:val="00D30354"/>
    <w:rsid w:val="00D35EB4"/>
    <w:rsid w:val="00D96CBA"/>
    <w:rsid w:val="00DA6461"/>
    <w:rsid w:val="00DB252F"/>
    <w:rsid w:val="00DC0A16"/>
    <w:rsid w:val="00DC723B"/>
    <w:rsid w:val="00DE4443"/>
    <w:rsid w:val="00DF42A0"/>
    <w:rsid w:val="00E14AC5"/>
    <w:rsid w:val="00E25910"/>
    <w:rsid w:val="00E52C09"/>
    <w:rsid w:val="00E769FE"/>
    <w:rsid w:val="00E86D58"/>
    <w:rsid w:val="00EA2CBE"/>
    <w:rsid w:val="00EA3D2D"/>
    <w:rsid w:val="00ED24ED"/>
    <w:rsid w:val="00EE30DE"/>
    <w:rsid w:val="00F275A3"/>
    <w:rsid w:val="00F32FEE"/>
    <w:rsid w:val="00F420B5"/>
    <w:rsid w:val="00F7692E"/>
    <w:rsid w:val="00FA1D62"/>
    <w:rsid w:val="00FB10BB"/>
    <w:rsid w:val="00FB1D4F"/>
    <w:rsid w:val="01116FEC"/>
    <w:rsid w:val="01B80962"/>
    <w:rsid w:val="021843CC"/>
    <w:rsid w:val="04EB4934"/>
    <w:rsid w:val="06734C26"/>
    <w:rsid w:val="06B94414"/>
    <w:rsid w:val="06DE408D"/>
    <w:rsid w:val="074433D0"/>
    <w:rsid w:val="088850EF"/>
    <w:rsid w:val="09A50626"/>
    <w:rsid w:val="0AE422A8"/>
    <w:rsid w:val="0B6E20DA"/>
    <w:rsid w:val="0BBC293C"/>
    <w:rsid w:val="0BCE4CBB"/>
    <w:rsid w:val="0C7C45D9"/>
    <w:rsid w:val="0DD45AB4"/>
    <w:rsid w:val="0E094D96"/>
    <w:rsid w:val="0EE9183D"/>
    <w:rsid w:val="10763D0C"/>
    <w:rsid w:val="131D60E5"/>
    <w:rsid w:val="14D85ACD"/>
    <w:rsid w:val="166879CC"/>
    <w:rsid w:val="16B15AA0"/>
    <w:rsid w:val="17EE4111"/>
    <w:rsid w:val="18640EF7"/>
    <w:rsid w:val="1951622F"/>
    <w:rsid w:val="1B8B0FF2"/>
    <w:rsid w:val="1BA40D39"/>
    <w:rsid w:val="1BB831D1"/>
    <w:rsid w:val="1BD4346E"/>
    <w:rsid w:val="1CF628C6"/>
    <w:rsid w:val="1CFF232F"/>
    <w:rsid w:val="1E21726B"/>
    <w:rsid w:val="1F722E0D"/>
    <w:rsid w:val="20317511"/>
    <w:rsid w:val="20A04C41"/>
    <w:rsid w:val="20DF6C50"/>
    <w:rsid w:val="21863D66"/>
    <w:rsid w:val="219D6553"/>
    <w:rsid w:val="22572278"/>
    <w:rsid w:val="259C6A01"/>
    <w:rsid w:val="27BE5A8D"/>
    <w:rsid w:val="292B0851"/>
    <w:rsid w:val="2AE45F76"/>
    <w:rsid w:val="2B4827D2"/>
    <w:rsid w:val="2B5B4767"/>
    <w:rsid w:val="2B9D2A91"/>
    <w:rsid w:val="2BB8257B"/>
    <w:rsid w:val="2C3A1827"/>
    <w:rsid w:val="2C7D1E20"/>
    <w:rsid w:val="2D2D11F8"/>
    <w:rsid w:val="2D537E7E"/>
    <w:rsid w:val="2DCC62C6"/>
    <w:rsid w:val="2DDF6276"/>
    <w:rsid w:val="2EAC76BC"/>
    <w:rsid w:val="2FB776A8"/>
    <w:rsid w:val="30A24527"/>
    <w:rsid w:val="30BE0F9C"/>
    <w:rsid w:val="30EE20E9"/>
    <w:rsid w:val="30F277FD"/>
    <w:rsid w:val="312C5EE6"/>
    <w:rsid w:val="31F23AFE"/>
    <w:rsid w:val="32B252D2"/>
    <w:rsid w:val="33D47D30"/>
    <w:rsid w:val="34276240"/>
    <w:rsid w:val="35377EFE"/>
    <w:rsid w:val="356A7949"/>
    <w:rsid w:val="356F14DD"/>
    <w:rsid w:val="367A4211"/>
    <w:rsid w:val="37413820"/>
    <w:rsid w:val="37C45358"/>
    <w:rsid w:val="38734B29"/>
    <w:rsid w:val="38B97354"/>
    <w:rsid w:val="3AF73FE3"/>
    <w:rsid w:val="3B7D47D8"/>
    <w:rsid w:val="3BB70555"/>
    <w:rsid w:val="3BC7304C"/>
    <w:rsid w:val="400001A0"/>
    <w:rsid w:val="400D0885"/>
    <w:rsid w:val="40CD7E5B"/>
    <w:rsid w:val="41F46496"/>
    <w:rsid w:val="43C77ADA"/>
    <w:rsid w:val="449C451D"/>
    <w:rsid w:val="45073B2A"/>
    <w:rsid w:val="466F183E"/>
    <w:rsid w:val="46DC2A78"/>
    <w:rsid w:val="46F622EC"/>
    <w:rsid w:val="4758363B"/>
    <w:rsid w:val="47FB44A6"/>
    <w:rsid w:val="4A39452E"/>
    <w:rsid w:val="4AE1187D"/>
    <w:rsid w:val="4B0A07C8"/>
    <w:rsid w:val="4BBE31A9"/>
    <w:rsid w:val="4BDB7DA7"/>
    <w:rsid w:val="4C5F7F78"/>
    <w:rsid w:val="4D6667FB"/>
    <w:rsid w:val="4DA33D88"/>
    <w:rsid w:val="4DD92BB5"/>
    <w:rsid w:val="4DE32ADA"/>
    <w:rsid w:val="4F8D7BE7"/>
    <w:rsid w:val="510C4AAE"/>
    <w:rsid w:val="522F761A"/>
    <w:rsid w:val="53005138"/>
    <w:rsid w:val="542D2FBE"/>
    <w:rsid w:val="5447318A"/>
    <w:rsid w:val="55893B67"/>
    <w:rsid w:val="5701715C"/>
    <w:rsid w:val="58D75736"/>
    <w:rsid w:val="59047C19"/>
    <w:rsid w:val="59EA2C80"/>
    <w:rsid w:val="5BD37F56"/>
    <w:rsid w:val="5C4806EE"/>
    <w:rsid w:val="5D57207E"/>
    <w:rsid w:val="608C353B"/>
    <w:rsid w:val="61242353"/>
    <w:rsid w:val="62D068AA"/>
    <w:rsid w:val="6347383F"/>
    <w:rsid w:val="63ED418E"/>
    <w:rsid w:val="65893DE0"/>
    <w:rsid w:val="65C07533"/>
    <w:rsid w:val="65CF17AD"/>
    <w:rsid w:val="66437D33"/>
    <w:rsid w:val="67FB5E3C"/>
    <w:rsid w:val="684B0830"/>
    <w:rsid w:val="69B91819"/>
    <w:rsid w:val="6A314D13"/>
    <w:rsid w:val="6B845416"/>
    <w:rsid w:val="6C0A0ACE"/>
    <w:rsid w:val="6C5A1568"/>
    <w:rsid w:val="6C6D3240"/>
    <w:rsid w:val="6C74389A"/>
    <w:rsid w:val="6D747692"/>
    <w:rsid w:val="6E36646D"/>
    <w:rsid w:val="6E5F758C"/>
    <w:rsid w:val="6F1E5DB8"/>
    <w:rsid w:val="70B07B00"/>
    <w:rsid w:val="710039F6"/>
    <w:rsid w:val="75203868"/>
    <w:rsid w:val="7546593F"/>
    <w:rsid w:val="75AE4E59"/>
    <w:rsid w:val="76243622"/>
    <w:rsid w:val="771249EB"/>
    <w:rsid w:val="77636846"/>
    <w:rsid w:val="77692F40"/>
    <w:rsid w:val="77716415"/>
    <w:rsid w:val="77DE6EC5"/>
    <w:rsid w:val="78625288"/>
    <w:rsid w:val="790231B0"/>
    <w:rsid w:val="79574721"/>
    <w:rsid w:val="79F036AA"/>
    <w:rsid w:val="7B270171"/>
    <w:rsid w:val="7B726C59"/>
    <w:rsid w:val="7BD474D4"/>
    <w:rsid w:val="7BDE0F75"/>
    <w:rsid w:val="7D980D38"/>
    <w:rsid w:val="7E6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5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6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8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9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10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1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1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2">
    <w:name w:val="Balloon Text"/>
    <w:basedOn w:val="1"/>
    <w:link w:val="32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rFonts w:cs="Times New Roman"/>
      <w:b/>
      <w:bCs/>
    </w:rPr>
  </w:style>
  <w:style w:type="character" w:styleId="21">
    <w:name w:val="Emphasis"/>
    <w:basedOn w:val="19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标题 1 字符"/>
    <w:basedOn w:val="19"/>
    <w:link w:val="3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标题 2 字符"/>
    <w:basedOn w:val="19"/>
    <w:link w:val="4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标题 3 字符"/>
    <w:basedOn w:val="19"/>
    <w:link w:val="5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标题 4 字符"/>
    <w:basedOn w:val="19"/>
    <w:link w:val="6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标题 5 字符"/>
    <w:basedOn w:val="19"/>
    <w:link w:val="7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标题 6 字符"/>
    <w:basedOn w:val="19"/>
    <w:link w:val="8"/>
    <w:semiHidden/>
    <w:qFormat/>
    <w:locked/>
    <w:uiPriority w:val="99"/>
    <w:rPr>
      <w:rFonts w:cs="Times New Roman"/>
      <w:b/>
      <w:bCs/>
    </w:rPr>
  </w:style>
  <w:style w:type="character" w:customStyle="1" w:styleId="28">
    <w:name w:val="标题 7 字符"/>
    <w:basedOn w:val="19"/>
    <w:link w:val="9"/>
    <w:semiHidden/>
    <w:qFormat/>
    <w:locked/>
    <w:uiPriority w:val="99"/>
    <w:rPr>
      <w:rFonts w:cs="Times New Roman"/>
      <w:sz w:val="24"/>
      <w:szCs w:val="24"/>
    </w:rPr>
  </w:style>
  <w:style w:type="character" w:customStyle="1" w:styleId="29">
    <w:name w:val="标题 8 字符"/>
    <w:basedOn w:val="19"/>
    <w:link w:val="10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标题 9 字符"/>
    <w:basedOn w:val="19"/>
    <w:link w:val="11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正文文本 字符"/>
    <w:basedOn w:val="19"/>
    <w:link w:val="2"/>
    <w:semiHidden/>
    <w:qFormat/>
    <w:uiPriority w:val="99"/>
    <w:rPr>
      <w:szCs w:val="24"/>
    </w:rPr>
  </w:style>
  <w:style w:type="character" w:customStyle="1" w:styleId="32">
    <w:name w:val="批注框文本 字符"/>
    <w:basedOn w:val="19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字符"/>
    <w:basedOn w:val="19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页眉 字符"/>
    <w:basedOn w:val="19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副标题 字符"/>
    <w:basedOn w:val="19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字符"/>
    <w:basedOn w:val="19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37">
    <w:name w:val="无间隔1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8">
    <w:name w:val="列表段落1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9">
    <w:name w:val="引用1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basedOn w:val="19"/>
    <w:link w:val="39"/>
    <w:qFormat/>
    <w:locked/>
    <w:uiPriority w:val="99"/>
    <w:rPr>
      <w:rFonts w:cs="Times New Roman"/>
      <w:i/>
      <w:sz w:val="24"/>
      <w:szCs w:val="24"/>
    </w:rPr>
  </w:style>
  <w:style w:type="paragraph" w:customStyle="1" w:styleId="41">
    <w:name w:val="明显引用1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basedOn w:val="19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Subtle Emphasis1"/>
    <w:qFormat/>
    <w:uiPriority w:val="99"/>
    <w:rPr>
      <w:i/>
      <w:color w:val="595959"/>
    </w:rPr>
  </w:style>
  <w:style w:type="character" w:customStyle="1" w:styleId="44">
    <w:name w:val="Intense Emphasis1"/>
    <w:basedOn w:val="19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Subtle Reference1"/>
    <w:basedOn w:val="19"/>
    <w:qFormat/>
    <w:uiPriority w:val="99"/>
    <w:rPr>
      <w:rFonts w:cs="Times New Roman"/>
      <w:sz w:val="24"/>
      <w:szCs w:val="24"/>
      <w:u w:val="single"/>
    </w:rPr>
  </w:style>
  <w:style w:type="character" w:customStyle="1" w:styleId="46">
    <w:name w:val="Intense Reference1"/>
    <w:basedOn w:val="19"/>
    <w:qFormat/>
    <w:uiPriority w:val="99"/>
    <w:rPr>
      <w:rFonts w:cs="Times New Roman"/>
      <w:b/>
      <w:sz w:val="24"/>
      <w:u w:val="single"/>
    </w:rPr>
  </w:style>
  <w:style w:type="character" w:customStyle="1" w:styleId="47">
    <w:name w:val="Book Title1"/>
    <w:basedOn w:val="19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Heading1"/>
    <w:basedOn w:val="3"/>
    <w:next w:val="1"/>
    <w:semiHidden/>
    <w:qFormat/>
    <w:uiPriority w:val="99"/>
    <w:pPr>
      <w:outlineLvl w:val="9"/>
    </w:pPr>
    <w:rPr>
      <w:lang w:eastAsia="en-US"/>
    </w:rPr>
  </w:style>
  <w:style w:type="character" w:customStyle="1" w:styleId="49">
    <w:name w:val="font31"/>
    <w:basedOn w:val="19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1076</Words>
  <Characters>6136</Characters>
  <Lines>51</Lines>
  <Paragraphs>14</Paragraphs>
  <TotalTime>3</TotalTime>
  <ScaleCrop>false</ScaleCrop>
  <LinksUpToDate>false</LinksUpToDate>
  <CharactersWithSpaces>7198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2021-08-13T04:57:00Z</cp:lastPrinted>
  <dcterms:modified xsi:type="dcterms:W3CDTF">2023-08-22T10:29:54Z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